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33BB2C" w14:textId="5AEAA2BF" w:rsidR="000E2ADC" w:rsidRPr="00726CFA" w:rsidRDefault="00EA68C6" w:rsidP="00C357A9">
      <w:pPr>
        <w:widowControl/>
        <w:tabs>
          <w:tab w:val="left" w:pos="-1440"/>
        </w:tabs>
        <w:ind w:left="720" w:hanging="720"/>
        <w:jc w:val="center"/>
        <w:rPr>
          <w:rFonts w:ascii="Arial" w:hAnsi="Arial" w:cs="Arial"/>
          <w:b/>
        </w:rPr>
      </w:pPr>
      <w:r w:rsidRPr="00726CFA">
        <w:rPr>
          <w:rFonts w:ascii="Arial" w:hAnsi="Arial" w:cs="Arial"/>
          <w:b/>
        </w:rPr>
        <w:t>20</w:t>
      </w:r>
      <w:r w:rsidR="009616FB">
        <w:rPr>
          <w:rFonts w:ascii="Arial" w:hAnsi="Arial" w:cs="Arial"/>
          <w:b/>
        </w:rPr>
        <w:t>2</w:t>
      </w:r>
      <w:r w:rsidR="0032578F">
        <w:rPr>
          <w:rFonts w:ascii="Arial" w:hAnsi="Arial" w:cs="Arial"/>
          <w:b/>
        </w:rPr>
        <w:t>6</w:t>
      </w:r>
    </w:p>
    <w:p w14:paraId="1AA06DA4" w14:textId="77777777" w:rsidR="00332174" w:rsidRDefault="00332174" w:rsidP="00C357A9">
      <w:pPr>
        <w:widowControl/>
        <w:tabs>
          <w:tab w:val="left" w:pos="-1440"/>
        </w:tabs>
        <w:ind w:left="720" w:hanging="720"/>
        <w:jc w:val="center"/>
        <w:rPr>
          <w:rFonts w:ascii="Times New Roman" w:hAnsi="Times New Roman"/>
          <w:b/>
        </w:rPr>
      </w:pPr>
    </w:p>
    <w:p w14:paraId="179ADA36" w14:textId="77777777" w:rsidR="00AD3DA9" w:rsidRPr="00AD3DA9" w:rsidRDefault="00AD3DA9" w:rsidP="002E22BE">
      <w:pPr>
        <w:pStyle w:val="Title"/>
        <w:pBdr>
          <w:top w:val="none" w:sz="0" w:space="0" w:color="auto"/>
          <w:left w:val="none" w:sz="0" w:space="0" w:color="auto"/>
          <w:bottom w:val="none" w:sz="0" w:space="0" w:color="auto"/>
          <w:right w:val="none" w:sz="0" w:space="0" w:color="auto"/>
        </w:pBdr>
        <w:shd w:val="clear" w:color="auto" w:fill="C6D9F1"/>
        <w:rPr>
          <w:rFonts w:ascii="Arial" w:hAnsi="Arial" w:cs="Arial"/>
        </w:rPr>
      </w:pPr>
      <w:r w:rsidRPr="00AD3DA9">
        <w:rPr>
          <w:rFonts w:ascii="Arial" w:hAnsi="Arial" w:cs="Arial"/>
        </w:rPr>
        <w:t>IOLTA GRANT POLICY</w:t>
      </w:r>
      <w:r w:rsidR="000F137B">
        <w:rPr>
          <w:rFonts w:ascii="Arial" w:hAnsi="Arial" w:cs="Arial"/>
        </w:rPr>
        <w:t>,</w:t>
      </w:r>
      <w:r w:rsidRPr="00AD3DA9">
        <w:rPr>
          <w:rFonts w:ascii="Arial" w:hAnsi="Arial" w:cs="Arial"/>
        </w:rPr>
        <w:t xml:space="preserve"> </w:t>
      </w:r>
    </w:p>
    <w:p w14:paraId="2AB214D9" w14:textId="77777777" w:rsidR="00AD3DA9" w:rsidRPr="00AD3DA9" w:rsidRDefault="00AD3DA9" w:rsidP="002E22BE">
      <w:pPr>
        <w:pStyle w:val="Title"/>
        <w:pBdr>
          <w:top w:val="none" w:sz="0" w:space="0" w:color="auto"/>
          <w:left w:val="none" w:sz="0" w:space="0" w:color="auto"/>
          <w:bottom w:val="none" w:sz="0" w:space="0" w:color="auto"/>
          <w:right w:val="none" w:sz="0" w:space="0" w:color="auto"/>
        </w:pBdr>
        <w:shd w:val="clear" w:color="auto" w:fill="C6D9F1"/>
        <w:rPr>
          <w:rFonts w:ascii="Arial" w:hAnsi="Arial" w:cs="Arial"/>
        </w:rPr>
      </w:pPr>
      <w:r w:rsidRPr="00AD3DA9">
        <w:rPr>
          <w:rFonts w:ascii="Arial" w:hAnsi="Arial" w:cs="Arial"/>
        </w:rPr>
        <w:t>Required Grant Reporting</w:t>
      </w:r>
      <w:r w:rsidR="000F137B">
        <w:rPr>
          <w:rFonts w:ascii="Arial" w:hAnsi="Arial" w:cs="Arial"/>
        </w:rPr>
        <w:t>, and</w:t>
      </w:r>
    </w:p>
    <w:p w14:paraId="0CD68A66" w14:textId="77777777" w:rsidR="00AD3DA9" w:rsidRPr="00AD3DA9" w:rsidRDefault="00AD3DA9" w:rsidP="002E22BE">
      <w:pPr>
        <w:pStyle w:val="Title"/>
        <w:pBdr>
          <w:top w:val="none" w:sz="0" w:space="0" w:color="auto"/>
          <w:left w:val="none" w:sz="0" w:space="0" w:color="auto"/>
          <w:bottom w:val="none" w:sz="0" w:space="0" w:color="auto"/>
          <w:right w:val="none" w:sz="0" w:space="0" w:color="auto"/>
        </w:pBdr>
        <w:shd w:val="clear" w:color="auto" w:fill="C6D9F1"/>
        <w:rPr>
          <w:rFonts w:ascii="Arial" w:hAnsi="Arial" w:cs="Arial"/>
        </w:rPr>
      </w:pPr>
      <w:r w:rsidRPr="00AD3DA9">
        <w:rPr>
          <w:rFonts w:ascii="Arial" w:hAnsi="Arial" w:cs="Arial"/>
        </w:rPr>
        <w:t>Income Eligibility Guidelines</w:t>
      </w:r>
    </w:p>
    <w:p w14:paraId="1D881C0F" w14:textId="77777777" w:rsidR="00AD3DA9" w:rsidRDefault="00AD3DA9" w:rsidP="00AD3DA9">
      <w:pPr>
        <w:pStyle w:val="Title"/>
        <w:pBdr>
          <w:top w:val="none" w:sz="0" w:space="0" w:color="auto"/>
          <w:left w:val="none" w:sz="0" w:space="0" w:color="auto"/>
          <w:bottom w:val="none" w:sz="0" w:space="0" w:color="auto"/>
          <w:right w:val="none" w:sz="0" w:space="0" w:color="auto"/>
        </w:pBdr>
        <w:shd w:val="clear" w:color="auto" w:fill="FFFFFF"/>
      </w:pPr>
    </w:p>
    <w:p w14:paraId="09A93D59" w14:textId="77777777" w:rsidR="00AD3DA9" w:rsidRDefault="00AD3DA9" w:rsidP="00AD3DA9">
      <w:pPr>
        <w:pStyle w:val="Title"/>
        <w:pBdr>
          <w:top w:val="none" w:sz="0" w:space="0" w:color="auto"/>
          <w:left w:val="none" w:sz="0" w:space="0" w:color="auto"/>
          <w:bottom w:val="none" w:sz="0" w:space="0" w:color="auto"/>
          <w:right w:val="none" w:sz="0" w:space="0" w:color="auto"/>
        </w:pBdr>
        <w:shd w:val="clear" w:color="auto" w:fill="FFFFFF"/>
      </w:pPr>
    </w:p>
    <w:p w14:paraId="3CA34744" w14:textId="77777777" w:rsidR="00C357A9" w:rsidRPr="00AD3DA9" w:rsidRDefault="00C357A9" w:rsidP="002E22BE">
      <w:pPr>
        <w:widowControl/>
        <w:shd w:val="clear" w:color="auto" w:fill="C6D9F1"/>
        <w:tabs>
          <w:tab w:val="left" w:pos="-1440"/>
        </w:tabs>
        <w:ind w:left="720" w:hanging="720"/>
        <w:jc w:val="center"/>
        <w:rPr>
          <w:rFonts w:ascii="Arial" w:hAnsi="Arial" w:cs="Arial"/>
          <w:b/>
        </w:rPr>
      </w:pPr>
      <w:r w:rsidRPr="00AD3DA9">
        <w:rPr>
          <w:rFonts w:ascii="Arial" w:hAnsi="Arial" w:cs="Arial"/>
          <w:b/>
        </w:rPr>
        <w:t>GRANT POLICY</w:t>
      </w:r>
    </w:p>
    <w:p w14:paraId="5EF1BD90" w14:textId="77777777" w:rsidR="007510CA" w:rsidRPr="00C357A9" w:rsidRDefault="007510CA" w:rsidP="00C357A9">
      <w:pPr>
        <w:widowControl/>
        <w:tabs>
          <w:tab w:val="left" w:pos="-1440"/>
        </w:tabs>
        <w:ind w:left="720" w:hanging="720"/>
        <w:jc w:val="center"/>
        <w:rPr>
          <w:rFonts w:ascii="Times New Roman" w:hAnsi="Times New Roman"/>
          <w:b/>
        </w:rPr>
      </w:pPr>
    </w:p>
    <w:p w14:paraId="7B02308D" w14:textId="77777777" w:rsidR="00C357A9" w:rsidRPr="00C357A9" w:rsidRDefault="00C357A9" w:rsidP="00C357A9">
      <w:pPr>
        <w:numPr>
          <w:ilvl w:val="0"/>
          <w:numId w:val="9"/>
        </w:numPr>
        <w:rPr>
          <w:rFonts w:ascii="Times New Roman" w:hAnsi="Times New Roman"/>
        </w:rPr>
      </w:pPr>
      <w:r w:rsidRPr="00C357A9">
        <w:rPr>
          <w:rFonts w:ascii="Times New Roman" w:hAnsi="Times New Roman"/>
        </w:rPr>
        <w:t>By New Jersey Supreme Court Rule 1:28A dated March 1, 1988, New Jersey IOLTA program funds have been designated for use only as follows:</w:t>
      </w:r>
    </w:p>
    <w:p w14:paraId="1E0D7900" w14:textId="77777777" w:rsidR="00C357A9" w:rsidRDefault="00C357A9" w:rsidP="00C357A9">
      <w:pPr>
        <w:widowControl/>
        <w:jc w:val="both"/>
        <w:rPr>
          <w:rFonts w:ascii="Times New Roman" w:hAnsi="Times New Roman"/>
        </w:rPr>
      </w:pPr>
    </w:p>
    <w:p w14:paraId="05E7BE82" w14:textId="77777777" w:rsidR="00C357A9" w:rsidRDefault="00C357A9" w:rsidP="00C357A9">
      <w:pPr>
        <w:widowControl/>
        <w:numPr>
          <w:ilvl w:val="0"/>
          <w:numId w:val="4"/>
        </w:numPr>
        <w:tabs>
          <w:tab w:val="left" w:pos="-1440"/>
        </w:tabs>
        <w:jc w:val="both"/>
        <w:rPr>
          <w:rFonts w:ascii="Times New Roman" w:hAnsi="Times New Roman"/>
        </w:rPr>
      </w:pPr>
      <w:r>
        <w:rPr>
          <w:rFonts w:ascii="Times New Roman" w:hAnsi="Times New Roman"/>
        </w:rPr>
        <w:t>Legal aid to the poor</w:t>
      </w:r>
    </w:p>
    <w:p w14:paraId="26843BF9" w14:textId="77777777" w:rsidR="00C357A9" w:rsidRDefault="00C357A9" w:rsidP="00C357A9">
      <w:pPr>
        <w:widowControl/>
        <w:jc w:val="both"/>
        <w:rPr>
          <w:rFonts w:ascii="Times New Roman" w:hAnsi="Times New Roman"/>
        </w:rPr>
      </w:pPr>
    </w:p>
    <w:p w14:paraId="39FD8285" w14:textId="77777777" w:rsidR="00C357A9" w:rsidRDefault="00C357A9" w:rsidP="00C357A9">
      <w:pPr>
        <w:widowControl/>
        <w:numPr>
          <w:ilvl w:val="0"/>
          <w:numId w:val="4"/>
        </w:numPr>
        <w:tabs>
          <w:tab w:val="left" w:pos="-1440"/>
        </w:tabs>
        <w:jc w:val="both"/>
        <w:rPr>
          <w:rFonts w:ascii="Times New Roman" w:hAnsi="Times New Roman"/>
        </w:rPr>
      </w:pPr>
      <w:r>
        <w:rPr>
          <w:rFonts w:ascii="Times New Roman" w:hAnsi="Times New Roman"/>
        </w:rPr>
        <w:t>Improvement in the administration of justice</w:t>
      </w:r>
    </w:p>
    <w:p w14:paraId="4D84F199" w14:textId="77777777" w:rsidR="00C357A9" w:rsidRDefault="00C357A9" w:rsidP="00C357A9">
      <w:pPr>
        <w:widowControl/>
        <w:jc w:val="both"/>
        <w:rPr>
          <w:rFonts w:ascii="Times New Roman" w:hAnsi="Times New Roman"/>
        </w:rPr>
      </w:pPr>
    </w:p>
    <w:p w14:paraId="003546CA" w14:textId="77777777" w:rsidR="00C357A9" w:rsidRDefault="00C357A9" w:rsidP="00C357A9">
      <w:pPr>
        <w:widowControl/>
        <w:numPr>
          <w:ilvl w:val="0"/>
          <w:numId w:val="4"/>
        </w:numPr>
        <w:tabs>
          <w:tab w:val="left" w:pos="-1440"/>
        </w:tabs>
        <w:jc w:val="both"/>
        <w:rPr>
          <w:rFonts w:ascii="Times New Roman" w:hAnsi="Times New Roman"/>
        </w:rPr>
      </w:pPr>
      <w:r>
        <w:rPr>
          <w:rFonts w:ascii="Times New Roman" w:hAnsi="Times New Roman"/>
        </w:rPr>
        <w:t xml:space="preserve">Education of lay </w:t>
      </w:r>
      <w:proofErr w:type="gramStart"/>
      <w:r>
        <w:rPr>
          <w:rFonts w:ascii="Times New Roman" w:hAnsi="Times New Roman"/>
        </w:rPr>
        <w:t>persons</w:t>
      </w:r>
      <w:proofErr w:type="gramEnd"/>
      <w:r>
        <w:rPr>
          <w:rFonts w:ascii="Times New Roman" w:hAnsi="Times New Roman"/>
        </w:rPr>
        <w:t xml:space="preserve"> in legal and justice-related areas</w:t>
      </w:r>
    </w:p>
    <w:p w14:paraId="16E95C72" w14:textId="77777777" w:rsidR="00C357A9" w:rsidRDefault="00C357A9" w:rsidP="00C357A9">
      <w:pPr>
        <w:widowControl/>
        <w:jc w:val="both"/>
        <w:rPr>
          <w:rFonts w:ascii="Times New Roman" w:hAnsi="Times New Roman"/>
        </w:rPr>
      </w:pPr>
    </w:p>
    <w:p w14:paraId="118C4993" w14:textId="77777777" w:rsidR="00C357A9" w:rsidRDefault="00C357A9" w:rsidP="00C357A9">
      <w:pPr>
        <w:widowControl/>
        <w:numPr>
          <w:ilvl w:val="0"/>
          <w:numId w:val="4"/>
        </w:numPr>
        <w:tabs>
          <w:tab w:val="left" w:pos="-1440"/>
        </w:tabs>
        <w:jc w:val="both"/>
        <w:rPr>
          <w:rFonts w:ascii="Times New Roman" w:hAnsi="Times New Roman"/>
        </w:rPr>
      </w:pPr>
      <w:r>
        <w:rPr>
          <w:rFonts w:ascii="Times New Roman" w:hAnsi="Times New Roman"/>
        </w:rPr>
        <w:t xml:space="preserve">Such other programs for the benefit of the </w:t>
      </w:r>
      <w:proofErr w:type="gramStart"/>
      <w:r>
        <w:rPr>
          <w:rFonts w:ascii="Times New Roman" w:hAnsi="Times New Roman"/>
        </w:rPr>
        <w:t>public as</w:t>
      </w:r>
      <w:proofErr w:type="gramEnd"/>
      <w:r>
        <w:rPr>
          <w:rFonts w:ascii="Times New Roman" w:hAnsi="Times New Roman"/>
        </w:rPr>
        <w:t xml:space="preserve"> are specifically approved by the New Jersey Supreme Court from time to time</w:t>
      </w:r>
    </w:p>
    <w:p w14:paraId="4DEF4B2C" w14:textId="77777777" w:rsidR="00C357A9" w:rsidRDefault="00C357A9" w:rsidP="00C357A9">
      <w:pPr>
        <w:widowControl/>
        <w:jc w:val="both"/>
        <w:rPr>
          <w:rFonts w:ascii="Times New Roman" w:hAnsi="Times New Roman"/>
        </w:rPr>
      </w:pPr>
    </w:p>
    <w:p w14:paraId="7023C0E9" w14:textId="77777777" w:rsidR="00C357A9" w:rsidRDefault="00C357A9" w:rsidP="00C357A9">
      <w:pPr>
        <w:widowControl/>
        <w:numPr>
          <w:ilvl w:val="0"/>
          <w:numId w:val="9"/>
        </w:numPr>
        <w:tabs>
          <w:tab w:val="left" w:pos="-1440"/>
        </w:tabs>
        <w:jc w:val="both"/>
        <w:rPr>
          <w:rFonts w:ascii="Times New Roman" w:hAnsi="Times New Roman"/>
        </w:rPr>
      </w:pPr>
      <w:r>
        <w:rPr>
          <w:rFonts w:ascii="Times New Roman" w:hAnsi="Times New Roman"/>
        </w:rPr>
        <w:t>New Jersey Supreme Court Rule 1:28A authorizes grants from IOLTA proceeds, less reserve and administrative funds, to be allocated as follows:</w:t>
      </w:r>
    </w:p>
    <w:p w14:paraId="26ACAC92" w14:textId="77777777" w:rsidR="00C357A9" w:rsidRDefault="00C357A9" w:rsidP="00C357A9">
      <w:pPr>
        <w:widowControl/>
        <w:jc w:val="both"/>
        <w:rPr>
          <w:rFonts w:ascii="Times New Roman" w:hAnsi="Times New Roman"/>
        </w:rPr>
      </w:pPr>
    </w:p>
    <w:p w14:paraId="496535AE" w14:textId="77777777" w:rsidR="00C357A9" w:rsidRDefault="00C357A9" w:rsidP="00C357A9">
      <w:pPr>
        <w:widowControl/>
        <w:numPr>
          <w:ilvl w:val="0"/>
          <w:numId w:val="6"/>
        </w:numPr>
        <w:tabs>
          <w:tab w:val="left" w:pos="-1440"/>
        </w:tabs>
        <w:jc w:val="both"/>
        <w:rPr>
          <w:rFonts w:ascii="Times New Roman" w:hAnsi="Times New Roman"/>
        </w:rPr>
      </w:pPr>
      <w:r>
        <w:rPr>
          <w:rFonts w:ascii="Times New Roman" w:hAnsi="Times New Roman"/>
        </w:rPr>
        <w:t>Not less than 75% to Legal Services of New Jersey, Inc.</w:t>
      </w:r>
    </w:p>
    <w:p w14:paraId="4AC9297B" w14:textId="77777777" w:rsidR="00C357A9" w:rsidRPr="00D926E0" w:rsidRDefault="00C357A9" w:rsidP="00C357A9">
      <w:pPr>
        <w:widowControl/>
        <w:ind w:left="720"/>
        <w:jc w:val="both"/>
        <w:rPr>
          <w:rFonts w:ascii="Times New Roman" w:hAnsi="Times New Roman"/>
          <w:i/>
        </w:rPr>
      </w:pPr>
    </w:p>
    <w:p w14:paraId="22492249" w14:textId="77777777" w:rsidR="00C357A9" w:rsidRDefault="00C357A9" w:rsidP="00C357A9">
      <w:pPr>
        <w:widowControl/>
        <w:numPr>
          <w:ilvl w:val="0"/>
          <w:numId w:val="6"/>
        </w:numPr>
        <w:tabs>
          <w:tab w:val="left" w:pos="-1440"/>
        </w:tabs>
        <w:jc w:val="both"/>
        <w:rPr>
          <w:rFonts w:ascii="Times New Roman" w:hAnsi="Times New Roman"/>
        </w:rPr>
      </w:pPr>
      <w:r>
        <w:rPr>
          <w:rFonts w:ascii="Times New Roman" w:hAnsi="Times New Roman"/>
        </w:rPr>
        <w:t>Not less than 12.5% to the New Jersey State Bar Foundation</w:t>
      </w:r>
    </w:p>
    <w:p w14:paraId="6AB512C0" w14:textId="77777777" w:rsidR="00C357A9" w:rsidRDefault="00C357A9" w:rsidP="00C357A9">
      <w:pPr>
        <w:widowControl/>
        <w:ind w:left="720"/>
        <w:jc w:val="both"/>
        <w:rPr>
          <w:rFonts w:ascii="Times New Roman" w:hAnsi="Times New Roman"/>
        </w:rPr>
      </w:pPr>
    </w:p>
    <w:p w14:paraId="3F9D2D7C" w14:textId="77777777" w:rsidR="00C357A9" w:rsidRDefault="00C357A9" w:rsidP="00C357A9">
      <w:pPr>
        <w:widowControl/>
        <w:numPr>
          <w:ilvl w:val="0"/>
          <w:numId w:val="6"/>
        </w:numPr>
        <w:tabs>
          <w:tab w:val="left" w:pos="-1440"/>
        </w:tabs>
        <w:jc w:val="both"/>
        <w:rPr>
          <w:rFonts w:ascii="Times New Roman" w:hAnsi="Times New Roman"/>
        </w:rPr>
      </w:pPr>
      <w:r>
        <w:rPr>
          <w:rFonts w:ascii="Times New Roman" w:hAnsi="Times New Roman"/>
        </w:rPr>
        <w:t xml:space="preserve">The balance of funds available to other entities </w:t>
      </w:r>
      <w:proofErr w:type="gramStart"/>
      <w:r>
        <w:rPr>
          <w:rFonts w:ascii="Times New Roman" w:hAnsi="Times New Roman"/>
        </w:rPr>
        <w:t>deemed</w:t>
      </w:r>
      <w:proofErr w:type="gramEnd"/>
      <w:r>
        <w:rPr>
          <w:rFonts w:ascii="Times New Roman" w:hAnsi="Times New Roman"/>
        </w:rPr>
        <w:t xml:space="preserve"> to be meritorious under the regulations of the Fund.</w:t>
      </w:r>
    </w:p>
    <w:p w14:paraId="0BE6D0CE" w14:textId="77777777" w:rsidR="00C357A9" w:rsidRDefault="00C357A9" w:rsidP="00C357A9">
      <w:pPr>
        <w:widowControl/>
        <w:jc w:val="both"/>
        <w:rPr>
          <w:rFonts w:ascii="Times New Roman" w:hAnsi="Times New Roman"/>
        </w:rPr>
      </w:pPr>
    </w:p>
    <w:p w14:paraId="30E531C0" w14:textId="77777777" w:rsidR="00C357A9" w:rsidRDefault="00C357A9" w:rsidP="00C357A9">
      <w:pPr>
        <w:widowControl/>
        <w:numPr>
          <w:ilvl w:val="0"/>
          <w:numId w:val="9"/>
        </w:numPr>
        <w:tabs>
          <w:tab w:val="left" w:pos="-1440"/>
        </w:tabs>
        <w:jc w:val="both"/>
        <w:rPr>
          <w:rFonts w:ascii="Times New Roman" w:hAnsi="Times New Roman"/>
        </w:rPr>
      </w:pPr>
      <w:r>
        <w:rPr>
          <w:rFonts w:ascii="Times New Roman" w:hAnsi="Times New Roman"/>
        </w:rPr>
        <w:t>Specific additional criteria for the categories of activities stipulated in the rule are as follows:</w:t>
      </w:r>
    </w:p>
    <w:p w14:paraId="63B24E17" w14:textId="77777777" w:rsidR="00C357A9" w:rsidRDefault="00C357A9" w:rsidP="00C357A9">
      <w:pPr>
        <w:widowControl/>
        <w:jc w:val="both"/>
        <w:rPr>
          <w:rFonts w:ascii="Times New Roman" w:hAnsi="Times New Roman"/>
        </w:rPr>
      </w:pPr>
    </w:p>
    <w:p w14:paraId="4A6AC32A" w14:textId="77777777" w:rsidR="00C357A9" w:rsidRDefault="00C357A9" w:rsidP="00C357A9">
      <w:pPr>
        <w:widowControl/>
        <w:numPr>
          <w:ilvl w:val="0"/>
          <w:numId w:val="5"/>
        </w:numPr>
        <w:tabs>
          <w:tab w:val="left" w:pos="-1440"/>
        </w:tabs>
        <w:jc w:val="both"/>
        <w:rPr>
          <w:rFonts w:ascii="Times New Roman" w:hAnsi="Times New Roman"/>
        </w:rPr>
      </w:pPr>
      <w:r>
        <w:rPr>
          <w:rFonts w:ascii="Times New Roman" w:hAnsi="Times New Roman"/>
          <w:b/>
        </w:rPr>
        <w:t xml:space="preserve">Legal aid to the poor </w:t>
      </w:r>
      <w:r>
        <w:rPr>
          <w:rFonts w:ascii="Times New Roman" w:hAnsi="Times New Roman"/>
        </w:rPr>
        <w:t>- Projects delivering civil legal services to individuals and famili</w:t>
      </w:r>
      <w:r w:rsidR="00502A22">
        <w:rPr>
          <w:rFonts w:ascii="Times New Roman" w:hAnsi="Times New Roman"/>
        </w:rPr>
        <w:t xml:space="preserve">es with income eligibility of </w:t>
      </w:r>
      <w:r w:rsidR="00562972">
        <w:rPr>
          <w:rFonts w:ascii="Times New Roman" w:hAnsi="Times New Roman"/>
        </w:rPr>
        <w:t>300</w:t>
      </w:r>
      <w:r>
        <w:rPr>
          <w:rFonts w:ascii="Times New Roman" w:hAnsi="Times New Roman"/>
        </w:rPr>
        <w:t>% of the current U.S. Health and Human Services Department poverty level</w:t>
      </w:r>
      <w:r w:rsidR="001738C1">
        <w:rPr>
          <w:rFonts w:ascii="Times New Roman" w:hAnsi="Times New Roman"/>
        </w:rPr>
        <w:t>, net of federal and state income taxes</w:t>
      </w:r>
      <w:r w:rsidR="006C0095">
        <w:rPr>
          <w:rFonts w:ascii="Times New Roman" w:hAnsi="Times New Roman"/>
        </w:rPr>
        <w:t>, etc. (see page 6)</w:t>
      </w:r>
      <w:r>
        <w:rPr>
          <w:rFonts w:ascii="Times New Roman" w:hAnsi="Times New Roman"/>
        </w:rPr>
        <w:t>; or legal services to client groups without resources for an attorney and which are composed primarily of people individually eligible for services as defined above, or seek representation in a matter which directly affects the interests of some or all low-income people.</w:t>
      </w:r>
      <w:r w:rsidR="001738C1">
        <w:rPr>
          <w:rFonts w:ascii="Times New Roman" w:hAnsi="Times New Roman"/>
        </w:rPr>
        <w:t xml:space="preserve">  Grant services may also be provided to </w:t>
      </w:r>
      <w:proofErr w:type="gramStart"/>
      <w:r w:rsidR="001738C1">
        <w:rPr>
          <w:rFonts w:ascii="Times New Roman" w:hAnsi="Times New Roman"/>
        </w:rPr>
        <w:t>persons</w:t>
      </w:r>
      <w:proofErr w:type="gramEnd"/>
      <w:r w:rsidR="001738C1">
        <w:rPr>
          <w:rFonts w:ascii="Times New Roman" w:hAnsi="Times New Roman"/>
        </w:rPr>
        <w:t xml:space="preserve"> receiving any form of means-tested public assistance (TANF, GA, SSI, SNAP (formerly Food Stamps), Medicaid), without regard to income.</w:t>
      </w:r>
    </w:p>
    <w:p w14:paraId="7CCDF0EE" w14:textId="77777777" w:rsidR="00C357A9" w:rsidRDefault="00C357A9" w:rsidP="00C357A9">
      <w:pPr>
        <w:widowControl/>
        <w:jc w:val="both"/>
        <w:rPr>
          <w:rFonts w:ascii="Times New Roman" w:hAnsi="Times New Roman"/>
        </w:rPr>
      </w:pPr>
    </w:p>
    <w:p w14:paraId="03A0D007" w14:textId="77777777" w:rsidR="00C357A9" w:rsidRDefault="00C357A9" w:rsidP="00C357A9">
      <w:pPr>
        <w:widowControl/>
        <w:ind w:left="720"/>
        <w:jc w:val="both"/>
        <w:rPr>
          <w:rFonts w:ascii="Times New Roman" w:hAnsi="Times New Roman"/>
        </w:rPr>
      </w:pPr>
      <w:r>
        <w:rPr>
          <w:rFonts w:ascii="Times New Roman" w:hAnsi="Times New Roman"/>
        </w:rPr>
        <w:t>This category is distinguished by the characteristics of direct legal assistance to a client in a case if that aid is either (1) provided by an attorney, (2) provided by a non-lawyer under the supervision of an attorney, or (3) if such legal assistance is explicitly authorized by a government agency with authority to provide such authorization, or such assistance is already funded to some degree by the federal or state government.</w:t>
      </w:r>
    </w:p>
    <w:p w14:paraId="4B594FDE" w14:textId="77777777" w:rsidR="00C357A9" w:rsidRDefault="00C357A9" w:rsidP="00C357A9">
      <w:pPr>
        <w:widowControl/>
        <w:jc w:val="both"/>
        <w:rPr>
          <w:rFonts w:ascii="Times New Roman" w:hAnsi="Times New Roman"/>
        </w:rPr>
      </w:pPr>
    </w:p>
    <w:p w14:paraId="3C59E1BF" w14:textId="77777777" w:rsidR="00C357A9" w:rsidRDefault="00C357A9" w:rsidP="00C357A9">
      <w:pPr>
        <w:widowControl/>
        <w:numPr>
          <w:ilvl w:val="0"/>
          <w:numId w:val="5"/>
        </w:numPr>
        <w:tabs>
          <w:tab w:val="left" w:pos="-1440"/>
        </w:tabs>
        <w:jc w:val="both"/>
        <w:rPr>
          <w:rFonts w:ascii="Times New Roman" w:hAnsi="Times New Roman"/>
        </w:rPr>
      </w:pPr>
      <w:r>
        <w:rPr>
          <w:rFonts w:ascii="Times New Roman" w:hAnsi="Times New Roman"/>
          <w:b/>
        </w:rPr>
        <w:lastRenderedPageBreak/>
        <w:t xml:space="preserve">Improvement of the Administration of Justice </w:t>
      </w:r>
      <w:r>
        <w:rPr>
          <w:rFonts w:ascii="Times New Roman" w:hAnsi="Times New Roman"/>
        </w:rPr>
        <w:t>- Projects promoting the improvement of the administration of justice by seeking to have a direct, secondary, or eventual beneficial impact on the state or federal judicial system, state or federal administrative agency processes, or other aspects of local, state or federal legal processes.</w:t>
      </w:r>
    </w:p>
    <w:p w14:paraId="5F363E04" w14:textId="77777777" w:rsidR="00C357A9" w:rsidRDefault="00C357A9" w:rsidP="00C357A9">
      <w:pPr>
        <w:widowControl/>
        <w:tabs>
          <w:tab w:val="left" w:pos="-1440"/>
        </w:tabs>
        <w:ind w:left="1440" w:firstLine="120"/>
        <w:jc w:val="both"/>
        <w:rPr>
          <w:rFonts w:ascii="Times New Roman" w:hAnsi="Times New Roman"/>
        </w:rPr>
      </w:pPr>
    </w:p>
    <w:p w14:paraId="3EF6134B" w14:textId="77777777" w:rsidR="00C357A9" w:rsidRDefault="00C357A9" w:rsidP="00C357A9">
      <w:pPr>
        <w:widowControl/>
        <w:numPr>
          <w:ilvl w:val="0"/>
          <w:numId w:val="5"/>
        </w:numPr>
        <w:tabs>
          <w:tab w:val="left" w:pos="-1440"/>
        </w:tabs>
        <w:jc w:val="both"/>
        <w:rPr>
          <w:rFonts w:ascii="Times New Roman" w:hAnsi="Times New Roman"/>
        </w:rPr>
      </w:pPr>
      <w:r>
        <w:rPr>
          <w:rFonts w:ascii="Times New Roman" w:hAnsi="Times New Roman"/>
          <w:b/>
        </w:rPr>
        <w:t xml:space="preserve">Education of lay </w:t>
      </w:r>
      <w:proofErr w:type="gramStart"/>
      <w:r>
        <w:rPr>
          <w:rFonts w:ascii="Times New Roman" w:hAnsi="Times New Roman"/>
          <w:b/>
        </w:rPr>
        <w:t>persons</w:t>
      </w:r>
      <w:proofErr w:type="gramEnd"/>
      <w:r>
        <w:rPr>
          <w:rFonts w:ascii="Times New Roman" w:hAnsi="Times New Roman"/>
          <w:b/>
        </w:rPr>
        <w:t xml:space="preserve"> in legal and justice-related areas </w:t>
      </w:r>
      <w:r>
        <w:rPr>
          <w:rFonts w:ascii="Times New Roman" w:hAnsi="Times New Roman"/>
        </w:rPr>
        <w:t>- Projects, using any form of communication, which enhance the public's understanding of local</w:t>
      </w:r>
      <w:r w:rsidR="003A6463">
        <w:rPr>
          <w:rFonts w:ascii="Times New Roman" w:hAnsi="Times New Roman"/>
        </w:rPr>
        <w:t>,</w:t>
      </w:r>
      <w:r>
        <w:rPr>
          <w:rFonts w:ascii="Times New Roman" w:hAnsi="Times New Roman"/>
        </w:rPr>
        <w:t xml:space="preserve"> state or federal law, judicial systems, or other legal processes or enhance the public's ability to gain access to such systems or processes.</w:t>
      </w:r>
    </w:p>
    <w:p w14:paraId="014EF70C" w14:textId="77777777" w:rsidR="00C357A9" w:rsidRDefault="00C357A9" w:rsidP="00C357A9">
      <w:pPr>
        <w:widowControl/>
        <w:jc w:val="both"/>
        <w:rPr>
          <w:rFonts w:ascii="Times New Roman" w:hAnsi="Times New Roman"/>
        </w:rPr>
      </w:pPr>
    </w:p>
    <w:p w14:paraId="4D682FD2" w14:textId="77777777" w:rsidR="00C357A9" w:rsidRDefault="00C357A9" w:rsidP="00C357A9">
      <w:pPr>
        <w:widowControl/>
        <w:tabs>
          <w:tab w:val="left" w:pos="-1440"/>
        </w:tabs>
        <w:ind w:left="720" w:hanging="720"/>
        <w:jc w:val="both"/>
        <w:rPr>
          <w:rFonts w:ascii="Times New Roman" w:hAnsi="Times New Roman"/>
        </w:rPr>
      </w:pPr>
      <w:r>
        <w:rPr>
          <w:rFonts w:ascii="Times New Roman" w:hAnsi="Times New Roman"/>
        </w:rPr>
        <w:t>4.</w:t>
      </w:r>
      <w:r>
        <w:rPr>
          <w:rFonts w:ascii="Times New Roman" w:hAnsi="Times New Roman"/>
        </w:rPr>
        <w:tab/>
        <w:t>Grant-making decisions of the Board are final and are not subject to appeal or judicial review.</w:t>
      </w:r>
    </w:p>
    <w:p w14:paraId="30FF686D" w14:textId="77777777" w:rsidR="00C357A9" w:rsidRDefault="00C357A9" w:rsidP="00C357A9">
      <w:pPr>
        <w:widowControl/>
        <w:jc w:val="both"/>
        <w:rPr>
          <w:rFonts w:ascii="Times New Roman" w:hAnsi="Times New Roman"/>
        </w:rPr>
      </w:pPr>
    </w:p>
    <w:p w14:paraId="5155FA6F" w14:textId="77777777" w:rsidR="00C357A9" w:rsidRDefault="00C357A9" w:rsidP="00C357A9">
      <w:pPr>
        <w:widowControl/>
        <w:tabs>
          <w:tab w:val="left" w:pos="-1440"/>
        </w:tabs>
        <w:ind w:left="720" w:hanging="720"/>
        <w:jc w:val="both"/>
        <w:rPr>
          <w:rFonts w:ascii="Times New Roman" w:hAnsi="Times New Roman"/>
        </w:rPr>
      </w:pPr>
      <w:r>
        <w:rPr>
          <w:rFonts w:ascii="Times New Roman" w:hAnsi="Times New Roman"/>
        </w:rPr>
        <w:t>5.</w:t>
      </w:r>
      <w:r>
        <w:rPr>
          <w:rFonts w:ascii="Times New Roman" w:hAnsi="Times New Roman"/>
        </w:rPr>
        <w:tab/>
        <w:t>All grants will be for activities to be carried out solely within the State of New Jersey.</w:t>
      </w:r>
    </w:p>
    <w:p w14:paraId="6A75502F" w14:textId="77777777" w:rsidR="00C357A9" w:rsidRDefault="00C357A9" w:rsidP="00C357A9">
      <w:pPr>
        <w:widowControl/>
        <w:jc w:val="both"/>
        <w:rPr>
          <w:rFonts w:ascii="Times New Roman" w:hAnsi="Times New Roman"/>
        </w:rPr>
      </w:pPr>
    </w:p>
    <w:p w14:paraId="31920F70" w14:textId="77777777" w:rsidR="00C357A9" w:rsidRDefault="00C357A9" w:rsidP="00C357A9">
      <w:pPr>
        <w:widowControl/>
        <w:tabs>
          <w:tab w:val="left" w:pos="-1440"/>
        </w:tabs>
        <w:ind w:left="720" w:hanging="720"/>
        <w:jc w:val="both"/>
        <w:rPr>
          <w:rFonts w:ascii="Times New Roman" w:hAnsi="Times New Roman"/>
        </w:rPr>
      </w:pPr>
      <w:r>
        <w:rPr>
          <w:rFonts w:ascii="Times New Roman" w:hAnsi="Times New Roman"/>
        </w:rPr>
        <w:t>6.</w:t>
      </w:r>
      <w:r>
        <w:rPr>
          <w:rFonts w:ascii="Times New Roman" w:hAnsi="Times New Roman"/>
        </w:rPr>
        <w:tab/>
        <w:t xml:space="preserve">All grantees must be </w:t>
      </w:r>
      <w:proofErr w:type="gramStart"/>
      <w:r>
        <w:rPr>
          <w:rFonts w:ascii="Times New Roman" w:hAnsi="Times New Roman"/>
        </w:rPr>
        <w:t>corporations</w:t>
      </w:r>
      <w:proofErr w:type="gramEnd"/>
      <w:r>
        <w:rPr>
          <w:rFonts w:ascii="Times New Roman" w:hAnsi="Times New Roman"/>
        </w:rPr>
        <w:t xml:space="preserve"> or other entities exempt from federal and state taxes; no individuals will be funded.</w:t>
      </w:r>
    </w:p>
    <w:p w14:paraId="4B6718E6" w14:textId="77777777" w:rsidR="00C357A9" w:rsidRDefault="00C357A9" w:rsidP="00C357A9">
      <w:pPr>
        <w:widowControl/>
        <w:jc w:val="both"/>
        <w:rPr>
          <w:rFonts w:ascii="Times New Roman" w:hAnsi="Times New Roman"/>
        </w:rPr>
      </w:pPr>
    </w:p>
    <w:p w14:paraId="4D3307E5" w14:textId="77777777" w:rsidR="00C357A9" w:rsidRDefault="00C357A9" w:rsidP="00C357A9">
      <w:pPr>
        <w:widowControl/>
        <w:tabs>
          <w:tab w:val="left" w:pos="-1440"/>
        </w:tabs>
        <w:ind w:left="720" w:hanging="720"/>
        <w:jc w:val="both"/>
        <w:rPr>
          <w:rFonts w:ascii="Times New Roman" w:hAnsi="Times New Roman"/>
        </w:rPr>
      </w:pPr>
      <w:r>
        <w:rPr>
          <w:rFonts w:ascii="Times New Roman" w:hAnsi="Times New Roman"/>
        </w:rPr>
        <w:t>7.</w:t>
      </w:r>
      <w:r>
        <w:rPr>
          <w:rFonts w:ascii="Times New Roman" w:hAnsi="Times New Roman"/>
        </w:rPr>
        <w:tab/>
        <w:t>All grants must be used exclusively for purposes set forth in R.1: 28A and grantees must have an accounting system which ensures that all grant funds are so restricted.</w:t>
      </w:r>
    </w:p>
    <w:p w14:paraId="39C2BBF3" w14:textId="77777777" w:rsidR="00C357A9" w:rsidRDefault="00C357A9" w:rsidP="00C357A9">
      <w:pPr>
        <w:widowControl/>
        <w:jc w:val="both"/>
        <w:rPr>
          <w:rFonts w:ascii="Times New Roman" w:hAnsi="Times New Roman"/>
        </w:rPr>
      </w:pPr>
    </w:p>
    <w:p w14:paraId="7EB1385C" w14:textId="77777777" w:rsidR="00C357A9" w:rsidRDefault="00C357A9" w:rsidP="00C357A9">
      <w:pPr>
        <w:widowControl/>
        <w:tabs>
          <w:tab w:val="left" w:pos="-1440"/>
        </w:tabs>
        <w:ind w:left="720" w:hanging="720"/>
        <w:jc w:val="both"/>
        <w:rPr>
          <w:rFonts w:ascii="Times New Roman" w:hAnsi="Times New Roman"/>
        </w:rPr>
      </w:pPr>
      <w:r>
        <w:rPr>
          <w:rFonts w:ascii="Times New Roman" w:hAnsi="Times New Roman"/>
        </w:rPr>
        <w:t>8.</w:t>
      </w:r>
      <w:r>
        <w:rPr>
          <w:rFonts w:ascii="Times New Roman" w:hAnsi="Times New Roman"/>
        </w:rPr>
        <w:tab/>
        <w:t>Grantees must complete all required applications and forms, must supply all requested information, execute all required grant assurances, and complete all required reports.</w:t>
      </w:r>
    </w:p>
    <w:p w14:paraId="6FCC0E84" w14:textId="77777777" w:rsidR="00C357A9" w:rsidRDefault="00C357A9" w:rsidP="00C357A9">
      <w:pPr>
        <w:widowControl/>
        <w:jc w:val="both"/>
        <w:rPr>
          <w:rFonts w:ascii="Times New Roman" w:hAnsi="Times New Roman"/>
        </w:rPr>
      </w:pPr>
    </w:p>
    <w:p w14:paraId="0255C9C7" w14:textId="77777777" w:rsidR="00C357A9" w:rsidRDefault="00C357A9" w:rsidP="00C357A9">
      <w:pPr>
        <w:widowControl/>
        <w:tabs>
          <w:tab w:val="left" w:pos="-1440"/>
        </w:tabs>
        <w:ind w:left="720" w:hanging="720"/>
        <w:jc w:val="both"/>
        <w:rPr>
          <w:rFonts w:ascii="Times New Roman" w:hAnsi="Times New Roman"/>
        </w:rPr>
      </w:pPr>
      <w:r>
        <w:rPr>
          <w:rFonts w:ascii="Times New Roman" w:hAnsi="Times New Roman"/>
        </w:rPr>
        <w:t>9.</w:t>
      </w:r>
      <w:r>
        <w:rPr>
          <w:rFonts w:ascii="Times New Roman" w:hAnsi="Times New Roman"/>
        </w:rPr>
        <w:tab/>
        <w:t>Grantees and sub grantees must certify that programs funded by IOLTA conform to the representations made by the IOLTA Fund to the Internal Revenue Service.</w:t>
      </w:r>
    </w:p>
    <w:p w14:paraId="302A9975" w14:textId="77777777" w:rsidR="00C357A9" w:rsidRDefault="00C357A9" w:rsidP="00C357A9">
      <w:pPr>
        <w:widowControl/>
        <w:jc w:val="both"/>
        <w:rPr>
          <w:rFonts w:ascii="Times New Roman" w:hAnsi="Times New Roman"/>
        </w:rPr>
      </w:pPr>
    </w:p>
    <w:p w14:paraId="6D4DDFE4" w14:textId="77777777" w:rsidR="00C357A9" w:rsidRDefault="00C357A9" w:rsidP="00C357A9">
      <w:pPr>
        <w:widowControl/>
        <w:tabs>
          <w:tab w:val="left" w:pos="-1440"/>
        </w:tabs>
        <w:ind w:left="720" w:hanging="720"/>
        <w:jc w:val="both"/>
        <w:rPr>
          <w:rFonts w:ascii="Times New Roman" w:hAnsi="Times New Roman"/>
        </w:rPr>
      </w:pPr>
      <w:r w:rsidRPr="00B41CDA">
        <w:rPr>
          <w:rFonts w:ascii="Times New Roman" w:hAnsi="Times New Roman"/>
        </w:rPr>
        <w:t>10.</w:t>
      </w:r>
      <w:r w:rsidRPr="00B41CDA">
        <w:rPr>
          <w:rFonts w:ascii="Times New Roman" w:hAnsi="Times New Roman"/>
        </w:rPr>
        <w:tab/>
        <w:t>Failure to comply with the Grant Assurances, reporting requirements, project proposal, and any other requirements specified by the Fund can result in a withholding or withdrawal of grant payments.</w:t>
      </w:r>
    </w:p>
    <w:p w14:paraId="5F931C1F" w14:textId="77777777" w:rsidR="00C357A9" w:rsidRDefault="00C357A9" w:rsidP="00C357A9">
      <w:pPr>
        <w:widowControl/>
        <w:jc w:val="both"/>
        <w:rPr>
          <w:rFonts w:ascii="Times New Roman" w:hAnsi="Times New Roman"/>
        </w:rPr>
      </w:pPr>
    </w:p>
    <w:p w14:paraId="29AAB97D" w14:textId="77777777" w:rsidR="00C357A9" w:rsidRPr="00AD3DA9" w:rsidRDefault="00C357A9" w:rsidP="00C357A9">
      <w:pPr>
        <w:widowControl/>
        <w:jc w:val="both"/>
        <w:rPr>
          <w:rFonts w:ascii="Arial" w:hAnsi="Arial" w:cs="Arial"/>
        </w:rPr>
      </w:pPr>
      <w:r w:rsidRPr="000219B7">
        <w:rPr>
          <w:rFonts w:ascii="Arial" w:hAnsi="Arial" w:cs="Arial"/>
          <w:b/>
        </w:rPr>
        <w:t>POLICIES SPECIFIC TO DISCRETIONARY GRANTS</w:t>
      </w:r>
    </w:p>
    <w:p w14:paraId="159ABD4A" w14:textId="77777777" w:rsidR="00C357A9" w:rsidRDefault="00C357A9" w:rsidP="00C357A9">
      <w:pPr>
        <w:widowControl/>
        <w:jc w:val="both"/>
        <w:rPr>
          <w:rFonts w:ascii="Times New Roman" w:hAnsi="Times New Roman"/>
        </w:rPr>
      </w:pPr>
    </w:p>
    <w:p w14:paraId="6C5C814B" w14:textId="77777777" w:rsidR="00C357A9" w:rsidRDefault="00C357A9" w:rsidP="00C357A9">
      <w:pPr>
        <w:widowControl/>
        <w:tabs>
          <w:tab w:val="left" w:pos="-1440"/>
        </w:tabs>
        <w:ind w:left="720" w:hanging="720"/>
        <w:jc w:val="both"/>
        <w:rPr>
          <w:rFonts w:ascii="Times New Roman" w:hAnsi="Times New Roman"/>
        </w:rPr>
      </w:pPr>
      <w:r>
        <w:rPr>
          <w:rFonts w:ascii="Times New Roman" w:hAnsi="Times New Roman"/>
        </w:rPr>
        <w:t>11.</w:t>
      </w:r>
      <w:r>
        <w:rPr>
          <w:rFonts w:ascii="Times New Roman" w:hAnsi="Times New Roman"/>
        </w:rPr>
        <w:tab/>
        <w:t>All grants to entities other than Legal Services of New Jersey, Inc., and the New Jersey State Bar Foundation are discretionary, and are presumed to be non-recurring; there is no assumption or implication that a program will receive funds in the next grant cycle.</w:t>
      </w:r>
    </w:p>
    <w:p w14:paraId="33D90A0A" w14:textId="77777777" w:rsidR="00C357A9" w:rsidRDefault="00C357A9" w:rsidP="00C357A9">
      <w:pPr>
        <w:widowControl/>
        <w:jc w:val="both"/>
        <w:rPr>
          <w:rFonts w:ascii="Times New Roman" w:hAnsi="Times New Roman"/>
        </w:rPr>
      </w:pPr>
    </w:p>
    <w:p w14:paraId="2862FBC6" w14:textId="77777777" w:rsidR="00C357A9" w:rsidRDefault="00C357A9" w:rsidP="00C357A9">
      <w:pPr>
        <w:widowControl/>
        <w:tabs>
          <w:tab w:val="left" w:pos="-1440"/>
        </w:tabs>
        <w:ind w:left="720" w:hanging="720"/>
        <w:rPr>
          <w:rFonts w:ascii="Times New Roman" w:hAnsi="Times New Roman"/>
        </w:rPr>
      </w:pPr>
      <w:r>
        <w:rPr>
          <w:rFonts w:ascii="Times New Roman" w:hAnsi="Times New Roman"/>
        </w:rPr>
        <w:t>12.</w:t>
      </w:r>
      <w:r>
        <w:rPr>
          <w:rFonts w:ascii="Times New Roman" w:hAnsi="Times New Roman"/>
        </w:rPr>
        <w:tab/>
        <w:t xml:space="preserve">There are two categories of grants: basic, for amounts below $12,000, and major, for grants above that level. </w:t>
      </w:r>
      <w:r w:rsidRPr="001738C1">
        <w:rPr>
          <w:rFonts w:ascii="Times New Roman" w:hAnsi="Times New Roman"/>
          <w:szCs w:val="24"/>
        </w:rPr>
        <w:t>M</w:t>
      </w:r>
      <w:r>
        <w:rPr>
          <w:rFonts w:ascii="Times New Roman" w:hAnsi="Times New Roman"/>
        </w:rPr>
        <w:t xml:space="preserve">ore substantial procedural, reporting, and auditing requirements will </w:t>
      </w:r>
      <w:proofErr w:type="gramStart"/>
      <w:r>
        <w:rPr>
          <w:rFonts w:ascii="Times New Roman" w:hAnsi="Times New Roman"/>
        </w:rPr>
        <w:t>attach to</w:t>
      </w:r>
      <w:proofErr w:type="gramEnd"/>
      <w:r>
        <w:rPr>
          <w:rFonts w:ascii="Times New Roman" w:hAnsi="Times New Roman"/>
        </w:rPr>
        <w:t xml:space="preserve"> major grants.</w:t>
      </w:r>
    </w:p>
    <w:p w14:paraId="7861A21C" w14:textId="77777777" w:rsidR="00C357A9" w:rsidRDefault="00C357A9" w:rsidP="00C357A9">
      <w:pPr>
        <w:widowControl/>
        <w:jc w:val="both"/>
        <w:rPr>
          <w:rFonts w:ascii="Times New Roman" w:hAnsi="Times New Roman"/>
        </w:rPr>
      </w:pPr>
    </w:p>
    <w:p w14:paraId="5494FB71" w14:textId="234A6A67" w:rsidR="00C357A9" w:rsidRDefault="00C357A9" w:rsidP="00C357A9">
      <w:pPr>
        <w:widowControl/>
        <w:ind w:left="720"/>
        <w:jc w:val="both"/>
        <w:rPr>
          <w:rFonts w:ascii="Times New Roman" w:hAnsi="Times New Roman"/>
        </w:rPr>
      </w:pPr>
      <w:r>
        <w:rPr>
          <w:rFonts w:ascii="Times New Roman" w:hAnsi="Times New Roman"/>
        </w:rPr>
        <w:t>It is expected that a major grant will not exceed $</w:t>
      </w:r>
      <w:r w:rsidR="00E31775">
        <w:rPr>
          <w:rFonts w:ascii="Times New Roman" w:hAnsi="Times New Roman"/>
        </w:rPr>
        <w:t>2</w:t>
      </w:r>
      <w:r>
        <w:rPr>
          <w:rFonts w:ascii="Times New Roman" w:hAnsi="Times New Roman"/>
        </w:rPr>
        <w:t>50,000</w:t>
      </w:r>
      <w:r w:rsidR="001738C1">
        <w:rPr>
          <w:rFonts w:ascii="Times New Roman" w:hAnsi="Times New Roman"/>
        </w:rPr>
        <w:t>.</w:t>
      </w:r>
      <w:r>
        <w:rPr>
          <w:rFonts w:ascii="Times New Roman" w:hAnsi="Times New Roman"/>
        </w:rPr>
        <w:t xml:space="preserve"> Also, it is expected that this amount may be awarded primarily to those applicants which meet the priorities specified below.</w:t>
      </w:r>
    </w:p>
    <w:p w14:paraId="727EEDD9" w14:textId="77777777" w:rsidR="00C357A9" w:rsidRDefault="00C357A9" w:rsidP="00C357A9">
      <w:pPr>
        <w:widowControl/>
        <w:jc w:val="both"/>
        <w:rPr>
          <w:rFonts w:ascii="Times New Roman" w:hAnsi="Times New Roman"/>
        </w:rPr>
      </w:pPr>
    </w:p>
    <w:p w14:paraId="0A7788D5" w14:textId="77777777" w:rsidR="00C357A9" w:rsidRDefault="00C357A9" w:rsidP="00C357A9">
      <w:pPr>
        <w:widowControl/>
        <w:numPr>
          <w:ilvl w:val="0"/>
          <w:numId w:val="3"/>
        </w:numPr>
        <w:tabs>
          <w:tab w:val="left" w:pos="-1440"/>
        </w:tabs>
        <w:jc w:val="both"/>
        <w:rPr>
          <w:rFonts w:ascii="Times New Roman" w:hAnsi="Times New Roman"/>
        </w:rPr>
      </w:pPr>
      <w:r>
        <w:rPr>
          <w:rFonts w:ascii="Times New Roman" w:hAnsi="Times New Roman"/>
        </w:rPr>
        <w:t>All applications for discretionary grants must be received by the IOLTA Fund of the Bar of New Jersey at its headquarters at the New Jersey Law Center, New Brunswick</w:t>
      </w:r>
      <w:r w:rsidR="000219B7">
        <w:rPr>
          <w:rFonts w:ascii="Times New Roman" w:hAnsi="Times New Roman"/>
        </w:rPr>
        <w:t>,</w:t>
      </w:r>
      <w:r>
        <w:rPr>
          <w:rFonts w:ascii="Times New Roman" w:hAnsi="Times New Roman"/>
        </w:rPr>
        <w:t xml:space="preserve"> postmarked by the US Postal Service no later than the due date specified annually. Applications postmarked after the due date will not be considered regardless of the source of the application or the merits of the application. </w:t>
      </w:r>
    </w:p>
    <w:p w14:paraId="26C9158B" w14:textId="77777777" w:rsidR="00C357A9" w:rsidRDefault="00C357A9" w:rsidP="00C357A9">
      <w:pPr>
        <w:widowControl/>
        <w:tabs>
          <w:tab w:val="left" w:pos="-1440"/>
        </w:tabs>
        <w:jc w:val="both"/>
        <w:rPr>
          <w:rFonts w:ascii="Times New Roman" w:hAnsi="Times New Roman"/>
        </w:rPr>
      </w:pPr>
    </w:p>
    <w:p w14:paraId="0B4C37E3" w14:textId="77777777" w:rsidR="00C357A9" w:rsidRDefault="00C357A9" w:rsidP="00C357A9">
      <w:pPr>
        <w:widowControl/>
        <w:tabs>
          <w:tab w:val="left" w:pos="-1440"/>
        </w:tabs>
        <w:ind w:left="720" w:hanging="720"/>
        <w:jc w:val="both"/>
        <w:rPr>
          <w:rFonts w:ascii="Times New Roman" w:hAnsi="Times New Roman"/>
        </w:rPr>
      </w:pPr>
      <w:r>
        <w:rPr>
          <w:rFonts w:ascii="Times New Roman" w:hAnsi="Times New Roman"/>
        </w:rPr>
        <w:lastRenderedPageBreak/>
        <w:t>14.</w:t>
      </w:r>
      <w:r>
        <w:rPr>
          <w:rFonts w:ascii="Times New Roman" w:hAnsi="Times New Roman"/>
        </w:rPr>
        <w:tab/>
        <w:t xml:space="preserve">The following categories will be considered first in making </w:t>
      </w:r>
      <w:proofErr w:type="gramStart"/>
      <w:r>
        <w:rPr>
          <w:rFonts w:ascii="Times New Roman" w:hAnsi="Times New Roman"/>
        </w:rPr>
        <w:t>grant</w:t>
      </w:r>
      <w:proofErr w:type="gramEnd"/>
      <w:r>
        <w:rPr>
          <w:rFonts w:ascii="Times New Roman" w:hAnsi="Times New Roman"/>
        </w:rPr>
        <w:t xml:space="preserve"> decisions. </w:t>
      </w:r>
      <w:r w:rsidRPr="00985763">
        <w:rPr>
          <w:rFonts w:ascii="Times New Roman" w:hAnsi="Times New Roman"/>
          <w:b/>
        </w:rPr>
        <w:t>In priority order</w:t>
      </w:r>
      <w:r>
        <w:rPr>
          <w:rFonts w:ascii="Times New Roman" w:hAnsi="Times New Roman"/>
        </w:rPr>
        <w:t>, these are:</w:t>
      </w:r>
    </w:p>
    <w:p w14:paraId="0608B066" w14:textId="77777777" w:rsidR="00C357A9" w:rsidRDefault="00C357A9" w:rsidP="00C357A9">
      <w:pPr>
        <w:widowControl/>
        <w:jc w:val="both"/>
        <w:rPr>
          <w:rFonts w:ascii="Times New Roman" w:hAnsi="Times New Roman"/>
        </w:rPr>
      </w:pPr>
    </w:p>
    <w:p w14:paraId="1663DD9F" w14:textId="77777777" w:rsidR="00C357A9" w:rsidRDefault="00C357A9" w:rsidP="00C357A9">
      <w:pPr>
        <w:widowControl/>
        <w:tabs>
          <w:tab w:val="left" w:pos="-1440"/>
        </w:tabs>
        <w:ind w:left="1440" w:hanging="720"/>
        <w:jc w:val="both"/>
        <w:rPr>
          <w:rFonts w:ascii="Times New Roman" w:hAnsi="Times New Roman"/>
        </w:rPr>
      </w:pPr>
      <w:r>
        <w:rPr>
          <w:rFonts w:ascii="Times New Roman" w:hAnsi="Times New Roman"/>
        </w:rPr>
        <w:t>A.</w:t>
      </w:r>
      <w:r>
        <w:rPr>
          <w:rFonts w:ascii="Times New Roman" w:hAnsi="Times New Roman"/>
        </w:rPr>
        <w:tab/>
        <w:t>Programs which provide legal representation and assistance to low-income individuals.</w:t>
      </w:r>
    </w:p>
    <w:p w14:paraId="1039E8D1" w14:textId="77777777" w:rsidR="00C357A9" w:rsidRDefault="00C357A9" w:rsidP="00C357A9">
      <w:pPr>
        <w:widowControl/>
        <w:jc w:val="both"/>
        <w:rPr>
          <w:rFonts w:ascii="Times New Roman" w:hAnsi="Times New Roman"/>
        </w:rPr>
      </w:pPr>
    </w:p>
    <w:p w14:paraId="18A55B6A" w14:textId="1B3F08A8" w:rsidR="00C357A9" w:rsidRDefault="00C357A9" w:rsidP="00C357A9">
      <w:pPr>
        <w:widowControl/>
        <w:tabs>
          <w:tab w:val="left" w:pos="-1440"/>
        </w:tabs>
        <w:ind w:left="1440" w:hanging="720"/>
        <w:jc w:val="both"/>
        <w:rPr>
          <w:rFonts w:ascii="Times New Roman" w:hAnsi="Times New Roman"/>
        </w:rPr>
      </w:pPr>
      <w:r>
        <w:rPr>
          <w:rFonts w:ascii="Times New Roman" w:hAnsi="Times New Roman"/>
        </w:rPr>
        <w:t>B.</w:t>
      </w:r>
      <w:r>
        <w:rPr>
          <w:rFonts w:ascii="Times New Roman" w:hAnsi="Times New Roman"/>
        </w:rPr>
        <w:tab/>
        <w:t xml:space="preserve">Programs which provide legal representation and assistance to client groups that are composed primarily of </w:t>
      </w:r>
      <w:r w:rsidR="00CE6CB2">
        <w:rPr>
          <w:rFonts w:ascii="Times New Roman" w:hAnsi="Times New Roman"/>
        </w:rPr>
        <w:t>low-income</w:t>
      </w:r>
      <w:r>
        <w:rPr>
          <w:rFonts w:ascii="Times New Roman" w:hAnsi="Times New Roman"/>
        </w:rPr>
        <w:t xml:space="preserve"> people.</w:t>
      </w:r>
    </w:p>
    <w:p w14:paraId="1AB0C1E9" w14:textId="77777777" w:rsidR="00C357A9" w:rsidRDefault="00C357A9" w:rsidP="00C357A9">
      <w:pPr>
        <w:widowControl/>
        <w:jc w:val="both"/>
        <w:rPr>
          <w:rFonts w:ascii="Times New Roman" w:hAnsi="Times New Roman"/>
        </w:rPr>
      </w:pPr>
    </w:p>
    <w:p w14:paraId="0A0BB74D" w14:textId="77777777" w:rsidR="00C357A9" w:rsidRDefault="00C357A9" w:rsidP="00C357A9">
      <w:pPr>
        <w:widowControl/>
        <w:tabs>
          <w:tab w:val="left" w:pos="-1440"/>
        </w:tabs>
        <w:ind w:left="1440" w:right="720" w:hanging="720"/>
        <w:jc w:val="both"/>
        <w:rPr>
          <w:rFonts w:ascii="Times New Roman" w:hAnsi="Times New Roman"/>
        </w:rPr>
      </w:pPr>
      <w:r>
        <w:rPr>
          <w:rFonts w:ascii="Times New Roman" w:hAnsi="Times New Roman"/>
        </w:rPr>
        <w:t>C.</w:t>
      </w:r>
      <w:r>
        <w:rPr>
          <w:rFonts w:ascii="Times New Roman" w:hAnsi="Times New Roman"/>
        </w:rPr>
        <w:tab/>
        <w:t>Programs which provide direct assistance and information to individuals or groups of individuals that have difficulty gaining access to the justice system or who need assistance in understanding the process of such access.</w:t>
      </w:r>
    </w:p>
    <w:p w14:paraId="7E83CC87" w14:textId="77777777" w:rsidR="00C357A9" w:rsidRDefault="00C357A9" w:rsidP="00C357A9">
      <w:pPr>
        <w:widowControl/>
        <w:jc w:val="both"/>
        <w:rPr>
          <w:rFonts w:ascii="Times New Roman" w:hAnsi="Times New Roman"/>
        </w:rPr>
      </w:pPr>
    </w:p>
    <w:p w14:paraId="214A42CB" w14:textId="77777777" w:rsidR="00C357A9" w:rsidRDefault="00C357A9" w:rsidP="00C357A9">
      <w:pPr>
        <w:widowControl/>
        <w:ind w:left="1440" w:right="720"/>
        <w:jc w:val="both"/>
        <w:rPr>
          <w:rFonts w:ascii="Times New Roman" w:hAnsi="Times New Roman"/>
        </w:rPr>
      </w:pPr>
      <w:r>
        <w:rPr>
          <w:rFonts w:ascii="Times New Roman" w:hAnsi="Times New Roman"/>
        </w:rPr>
        <w:t xml:space="preserve">These programs will generally not provide legal </w:t>
      </w:r>
      <w:proofErr w:type="gramStart"/>
      <w:r>
        <w:rPr>
          <w:rFonts w:ascii="Times New Roman" w:hAnsi="Times New Roman"/>
        </w:rPr>
        <w:t>representation, but</w:t>
      </w:r>
      <w:proofErr w:type="gramEnd"/>
      <w:r>
        <w:rPr>
          <w:rFonts w:ascii="Times New Roman" w:hAnsi="Times New Roman"/>
        </w:rPr>
        <w:t xml:space="preserve"> must demonstrate that the clients served generally cannot provide the resources necessary to resolve their legal problems.</w:t>
      </w:r>
    </w:p>
    <w:p w14:paraId="38F12104" w14:textId="77777777" w:rsidR="00C357A9" w:rsidRDefault="00C357A9" w:rsidP="00C357A9">
      <w:pPr>
        <w:widowControl/>
        <w:ind w:left="1440" w:right="720"/>
        <w:jc w:val="both"/>
        <w:rPr>
          <w:rFonts w:ascii="Times New Roman" w:hAnsi="Times New Roman"/>
        </w:rPr>
      </w:pPr>
    </w:p>
    <w:p w14:paraId="158C63EF" w14:textId="77777777" w:rsidR="00C357A9" w:rsidRDefault="00C357A9" w:rsidP="00C357A9">
      <w:pPr>
        <w:pStyle w:val="BlockText"/>
        <w:ind w:left="0" w:right="0"/>
      </w:pPr>
      <w:r>
        <w:t xml:space="preserve">Programs in these categories must demonstrate coordination with federally funded Legal Services agencies and mainly provide legal services beyond the capacity of the federally funded agencies. Private attorney involvement will be on a </w:t>
      </w:r>
      <w:r w:rsidRPr="00C357A9">
        <w:rPr>
          <w:i/>
        </w:rPr>
        <w:t>pro bono</w:t>
      </w:r>
      <w:r>
        <w:t xml:space="preserve"> basis.</w:t>
      </w:r>
    </w:p>
    <w:p w14:paraId="45E27442" w14:textId="77777777" w:rsidR="00C357A9" w:rsidRDefault="00C357A9" w:rsidP="00C357A9">
      <w:pPr>
        <w:widowControl/>
        <w:ind w:right="720"/>
        <w:jc w:val="both"/>
        <w:rPr>
          <w:rFonts w:ascii="Times New Roman" w:hAnsi="Times New Roman"/>
        </w:rPr>
      </w:pPr>
    </w:p>
    <w:p w14:paraId="1B92D6CE" w14:textId="77777777" w:rsidR="00C357A9" w:rsidRDefault="00C357A9" w:rsidP="00C357A9">
      <w:pPr>
        <w:widowControl/>
        <w:ind w:right="720"/>
        <w:jc w:val="both"/>
        <w:rPr>
          <w:rFonts w:ascii="Times New Roman" w:hAnsi="Times New Roman"/>
        </w:rPr>
      </w:pPr>
      <w:r>
        <w:rPr>
          <w:rFonts w:ascii="Times New Roman" w:hAnsi="Times New Roman"/>
        </w:rPr>
        <w:t xml:space="preserve">The following characteristics of the above programs will be given </w:t>
      </w:r>
      <w:proofErr w:type="gramStart"/>
      <w:r>
        <w:rPr>
          <w:rFonts w:ascii="Times New Roman" w:hAnsi="Times New Roman"/>
        </w:rPr>
        <w:t>particular weight</w:t>
      </w:r>
      <w:proofErr w:type="gramEnd"/>
      <w:r>
        <w:rPr>
          <w:rFonts w:ascii="Times New Roman" w:hAnsi="Times New Roman"/>
        </w:rPr>
        <w:t>:</w:t>
      </w:r>
    </w:p>
    <w:p w14:paraId="6B47539B" w14:textId="77777777" w:rsidR="00C357A9" w:rsidRDefault="00C357A9" w:rsidP="00C357A9">
      <w:pPr>
        <w:widowControl/>
        <w:ind w:right="720"/>
        <w:jc w:val="both"/>
        <w:rPr>
          <w:rFonts w:ascii="Times New Roman" w:hAnsi="Times New Roman"/>
        </w:rPr>
      </w:pPr>
    </w:p>
    <w:p w14:paraId="2A5F590C" w14:textId="77777777" w:rsidR="00C357A9" w:rsidRDefault="00C357A9" w:rsidP="00C357A9">
      <w:pPr>
        <w:widowControl/>
        <w:numPr>
          <w:ilvl w:val="0"/>
          <w:numId w:val="7"/>
        </w:numPr>
        <w:ind w:right="720"/>
        <w:jc w:val="both"/>
        <w:rPr>
          <w:rFonts w:ascii="Times New Roman" w:hAnsi="Times New Roman"/>
        </w:rPr>
      </w:pPr>
      <w:r>
        <w:rPr>
          <w:rFonts w:ascii="Times New Roman" w:hAnsi="Times New Roman"/>
        </w:rPr>
        <w:t>Programs which offer legal representation to low-income clients with critical civil legal needs.</w:t>
      </w:r>
    </w:p>
    <w:p w14:paraId="26E7DF07" w14:textId="77777777" w:rsidR="00C357A9" w:rsidRDefault="00C357A9" w:rsidP="00C357A9">
      <w:pPr>
        <w:widowControl/>
        <w:ind w:left="720" w:right="720"/>
        <w:jc w:val="both"/>
        <w:rPr>
          <w:rFonts w:ascii="Times New Roman" w:hAnsi="Times New Roman"/>
        </w:rPr>
      </w:pPr>
    </w:p>
    <w:p w14:paraId="2863D5D4" w14:textId="77777777" w:rsidR="00C357A9" w:rsidRDefault="00C357A9" w:rsidP="00C357A9">
      <w:pPr>
        <w:widowControl/>
        <w:numPr>
          <w:ilvl w:val="0"/>
          <w:numId w:val="7"/>
        </w:numPr>
        <w:ind w:right="720"/>
        <w:jc w:val="both"/>
        <w:rPr>
          <w:rFonts w:ascii="Times New Roman" w:hAnsi="Times New Roman"/>
        </w:rPr>
      </w:pPr>
      <w:r>
        <w:rPr>
          <w:rFonts w:ascii="Times New Roman" w:hAnsi="Times New Roman"/>
        </w:rPr>
        <w:t>Programs which provide full representation.</w:t>
      </w:r>
    </w:p>
    <w:p w14:paraId="190EE808" w14:textId="77777777" w:rsidR="00C357A9" w:rsidRDefault="00C357A9" w:rsidP="00C357A9">
      <w:pPr>
        <w:widowControl/>
        <w:ind w:left="720" w:right="720"/>
        <w:jc w:val="both"/>
        <w:rPr>
          <w:rFonts w:ascii="Times New Roman" w:hAnsi="Times New Roman"/>
        </w:rPr>
      </w:pPr>
    </w:p>
    <w:p w14:paraId="6BE82F5B" w14:textId="77777777" w:rsidR="00C357A9" w:rsidRDefault="00C357A9" w:rsidP="00C357A9">
      <w:pPr>
        <w:widowControl/>
        <w:numPr>
          <w:ilvl w:val="0"/>
          <w:numId w:val="7"/>
        </w:numPr>
        <w:ind w:right="720"/>
        <w:jc w:val="both"/>
        <w:rPr>
          <w:rFonts w:ascii="Times New Roman" w:hAnsi="Times New Roman"/>
        </w:rPr>
      </w:pPr>
      <w:r>
        <w:rPr>
          <w:rFonts w:ascii="Times New Roman" w:hAnsi="Times New Roman"/>
        </w:rPr>
        <w:t>Programs which provide representation in cases that will have a beneficial impact beyond clients directly represented.</w:t>
      </w:r>
    </w:p>
    <w:p w14:paraId="456D9598" w14:textId="77777777" w:rsidR="00C357A9" w:rsidRDefault="00C357A9" w:rsidP="00C357A9">
      <w:pPr>
        <w:widowControl/>
        <w:jc w:val="both"/>
        <w:rPr>
          <w:rFonts w:ascii="Times New Roman" w:hAnsi="Times New Roman"/>
        </w:rPr>
      </w:pPr>
    </w:p>
    <w:p w14:paraId="1810B27A" w14:textId="77777777" w:rsidR="000C659D" w:rsidRDefault="00C357A9" w:rsidP="00C357A9">
      <w:pPr>
        <w:widowControl/>
        <w:tabs>
          <w:tab w:val="left" w:pos="-1440"/>
        </w:tabs>
        <w:ind w:left="720" w:hanging="720"/>
        <w:jc w:val="both"/>
        <w:rPr>
          <w:rFonts w:ascii="Times New Roman" w:hAnsi="Times New Roman"/>
        </w:rPr>
      </w:pPr>
      <w:r>
        <w:rPr>
          <w:rFonts w:ascii="Times New Roman" w:hAnsi="Times New Roman"/>
        </w:rPr>
        <w:t>15.</w:t>
      </w:r>
      <w:r>
        <w:rPr>
          <w:rFonts w:ascii="Times New Roman" w:hAnsi="Times New Roman"/>
        </w:rPr>
        <w:tab/>
        <w:t>Reporting requirements for discretionary grants are provided in the grant application instructions, grant assurances and grant acceptance agreements. All reports will be in a form provided by IOLTA.</w:t>
      </w:r>
    </w:p>
    <w:p w14:paraId="539BA605" w14:textId="77777777" w:rsidR="007510CA" w:rsidRDefault="000C659D" w:rsidP="000C659D">
      <w:pPr>
        <w:widowControl/>
        <w:rPr>
          <w:rFonts w:ascii="Times New Roman" w:hAnsi="Times New Roman"/>
        </w:rPr>
      </w:pPr>
      <w:r>
        <w:rPr>
          <w:rFonts w:ascii="Times New Roman" w:hAnsi="Times New Roman"/>
        </w:rPr>
        <w:tab/>
      </w:r>
    </w:p>
    <w:p w14:paraId="153CF465" w14:textId="77777777" w:rsidR="000C659D" w:rsidRDefault="000C659D">
      <w:pPr>
        <w:widowControl/>
        <w:rPr>
          <w:rFonts w:ascii="Arial" w:hAnsi="Arial" w:cs="Arial"/>
          <w:b/>
        </w:rPr>
      </w:pPr>
      <w:r>
        <w:rPr>
          <w:rFonts w:ascii="Arial" w:hAnsi="Arial" w:cs="Arial"/>
          <w:b/>
        </w:rPr>
        <w:br w:type="page"/>
      </w:r>
    </w:p>
    <w:p w14:paraId="5E7893B7" w14:textId="77777777" w:rsidR="009F3F7E" w:rsidRPr="00AD3DA9" w:rsidRDefault="009F3F7E" w:rsidP="002E22BE">
      <w:pPr>
        <w:shd w:val="clear" w:color="auto" w:fill="C6D9F1"/>
        <w:jc w:val="center"/>
        <w:rPr>
          <w:rFonts w:ascii="Arial" w:hAnsi="Arial" w:cs="Arial"/>
        </w:rPr>
      </w:pPr>
      <w:r w:rsidRPr="00AD3DA9">
        <w:rPr>
          <w:rFonts w:ascii="Arial" w:hAnsi="Arial" w:cs="Arial"/>
          <w:b/>
        </w:rPr>
        <w:lastRenderedPageBreak/>
        <w:t>REPORTING REQUIREMENTS FOR DISCRETIONARY GRANTS</w:t>
      </w:r>
      <w:r w:rsidRPr="00AD3DA9">
        <w:rPr>
          <w:rFonts w:ascii="Arial" w:hAnsi="Arial" w:cs="Arial"/>
        </w:rPr>
        <w:t>:</w:t>
      </w:r>
    </w:p>
    <w:p w14:paraId="52C7C931" w14:textId="77777777" w:rsidR="009F3F7E" w:rsidRDefault="009F3F7E">
      <w:pPr>
        <w:jc w:val="both"/>
        <w:rPr>
          <w:rFonts w:ascii="Times New Roman" w:hAnsi="Times New Roman"/>
        </w:rPr>
      </w:pPr>
    </w:p>
    <w:p w14:paraId="557E445A" w14:textId="77777777" w:rsidR="009F3F7E" w:rsidRDefault="009F3F7E">
      <w:pPr>
        <w:tabs>
          <w:tab w:val="left" w:pos="-1440"/>
        </w:tabs>
        <w:ind w:left="720" w:hanging="720"/>
        <w:jc w:val="both"/>
        <w:rPr>
          <w:rFonts w:ascii="Times New Roman" w:hAnsi="Times New Roman"/>
          <w:i/>
        </w:rPr>
      </w:pPr>
      <w:r>
        <w:rPr>
          <w:rFonts w:ascii="Times New Roman" w:hAnsi="Times New Roman"/>
          <w:i/>
        </w:rPr>
        <w:t>A.</w:t>
      </w:r>
      <w:r>
        <w:rPr>
          <w:rFonts w:ascii="Times New Roman" w:hAnsi="Times New Roman"/>
          <w:i/>
        </w:rPr>
        <w:tab/>
        <w:t>FOR BASIC GRANTS ($12,000 OR LESS):</w:t>
      </w:r>
    </w:p>
    <w:p w14:paraId="68110B95" w14:textId="77777777" w:rsidR="009F3F7E" w:rsidRDefault="009F3F7E">
      <w:pPr>
        <w:jc w:val="both"/>
        <w:rPr>
          <w:rFonts w:ascii="Times New Roman" w:hAnsi="Times New Roman"/>
        </w:rPr>
      </w:pPr>
    </w:p>
    <w:p w14:paraId="70F639A1" w14:textId="77777777" w:rsidR="009F3F7E" w:rsidRPr="00502A22" w:rsidRDefault="009F3F7E" w:rsidP="00502A22">
      <w:pPr>
        <w:pStyle w:val="ListParagraph"/>
        <w:numPr>
          <w:ilvl w:val="0"/>
          <w:numId w:val="12"/>
        </w:numPr>
        <w:rPr>
          <w:rFonts w:ascii="Times New Roman" w:hAnsi="Times New Roman"/>
        </w:rPr>
      </w:pPr>
      <w:r w:rsidRPr="00502A22">
        <w:rPr>
          <w:rFonts w:ascii="Times New Roman" w:hAnsi="Times New Roman"/>
        </w:rPr>
        <w:t>A narrative detailing what was accomplished by the use of the funds including the number of people served</w:t>
      </w:r>
      <w:r w:rsidR="00502A22">
        <w:rPr>
          <w:rFonts w:ascii="Times New Roman" w:hAnsi="Times New Roman"/>
        </w:rPr>
        <w:t xml:space="preserve">, case closed statistics for IOLTA-funded cases, </w:t>
      </w:r>
      <w:r w:rsidRPr="00502A22">
        <w:rPr>
          <w:rFonts w:ascii="Times New Roman" w:hAnsi="Times New Roman"/>
        </w:rPr>
        <w:t xml:space="preserve">and a financial statement certified by the applicant's board chairperson and chief financial officer detailing the expenditures of all IOLTA funds received will be submitted 30 days after the completion of the project or grant period, whichever occurs earlier. </w:t>
      </w:r>
    </w:p>
    <w:p w14:paraId="310DC1E9" w14:textId="77777777" w:rsidR="009F3F7E" w:rsidRDefault="009F3F7E">
      <w:pPr>
        <w:jc w:val="both"/>
        <w:rPr>
          <w:rFonts w:ascii="Times New Roman" w:hAnsi="Times New Roman"/>
        </w:rPr>
      </w:pPr>
    </w:p>
    <w:p w14:paraId="77D4DB30" w14:textId="77777777" w:rsidR="009F3F7E" w:rsidRDefault="009F3F7E" w:rsidP="00502A22">
      <w:pPr>
        <w:pStyle w:val="ListParagraph"/>
        <w:numPr>
          <w:ilvl w:val="0"/>
          <w:numId w:val="12"/>
        </w:numPr>
        <w:tabs>
          <w:tab w:val="left" w:pos="-1440"/>
        </w:tabs>
        <w:jc w:val="both"/>
        <w:rPr>
          <w:rFonts w:ascii="Times New Roman" w:hAnsi="Times New Roman"/>
        </w:rPr>
      </w:pPr>
      <w:r w:rsidRPr="00502A22">
        <w:rPr>
          <w:rFonts w:ascii="Times New Roman" w:hAnsi="Times New Roman"/>
        </w:rPr>
        <w:t>An annual audit, conducted in accordance with generally ac</w:t>
      </w:r>
      <w:r w:rsidR="00502A22" w:rsidRPr="00502A22">
        <w:rPr>
          <w:rFonts w:ascii="Times New Roman" w:hAnsi="Times New Roman"/>
        </w:rPr>
        <w:t xml:space="preserve">cepted auditing standards, with </w:t>
      </w:r>
      <w:r w:rsidRPr="00502A22">
        <w:rPr>
          <w:rFonts w:ascii="Times New Roman" w:hAnsi="Times New Roman"/>
        </w:rPr>
        <w:t xml:space="preserve">IOLTA income and expenditures reflected as a restricted fund or detailed in a supplemental schedule will be submitted no later than 150 days after the close of the fiscal year.  If the organization does not conduct an annual audit, </w:t>
      </w:r>
      <w:bookmarkStart w:id="0" w:name="_Hlk201576381"/>
      <w:r w:rsidRPr="00502A22">
        <w:rPr>
          <w:rFonts w:ascii="Times New Roman" w:hAnsi="Times New Roman"/>
        </w:rPr>
        <w:t>a year-end organization wide financial statement, with IOLTA grant expenditures detailed in a supplemental schedule, and certified by the Board chairperson and chief financial officer will be submitted no later than 90 days after the close of the fiscal year.</w:t>
      </w:r>
      <w:bookmarkEnd w:id="0"/>
    </w:p>
    <w:p w14:paraId="3BE9AE95" w14:textId="77777777" w:rsidR="00502A22" w:rsidRPr="00502A22" w:rsidRDefault="00502A22" w:rsidP="00502A22">
      <w:pPr>
        <w:pStyle w:val="ListParagraph"/>
        <w:rPr>
          <w:rFonts w:ascii="Times New Roman" w:hAnsi="Times New Roman"/>
        </w:rPr>
      </w:pPr>
    </w:p>
    <w:p w14:paraId="0EDB6492" w14:textId="77777777" w:rsidR="00502A22" w:rsidRPr="00502A22" w:rsidRDefault="00502A22" w:rsidP="00502A22">
      <w:pPr>
        <w:pStyle w:val="ListParagraph"/>
        <w:tabs>
          <w:tab w:val="left" w:pos="-1440"/>
        </w:tabs>
        <w:jc w:val="both"/>
        <w:rPr>
          <w:rFonts w:ascii="Times New Roman" w:hAnsi="Times New Roman"/>
        </w:rPr>
      </w:pPr>
    </w:p>
    <w:p w14:paraId="11ADF1BC" w14:textId="77777777" w:rsidR="009F3F7E" w:rsidRDefault="00502A22" w:rsidP="00502A22">
      <w:pPr>
        <w:tabs>
          <w:tab w:val="left" w:pos="-1440"/>
        </w:tabs>
        <w:jc w:val="both"/>
        <w:rPr>
          <w:rFonts w:ascii="Times New Roman" w:hAnsi="Times New Roman"/>
          <w:i/>
        </w:rPr>
      </w:pPr>
      <w:r>
        <w:rPr>
          <w:rFonts w:ascii="Times New Roman" w:hAnsi="Times New Roman"/>
          <w:i/>
        </w:rPr>
        <w:t>B.</w:t>
      </w:r>
      <w:r>
        <w:rPr>
          <w:rFonts w:ascii="Times New Roman" w:hAnsi="Times New Roman"/>
          <w:i/>
        </w:rPr>
        <w:tab/>
      </w:r>
      <w:r w:rsidR="009F3F7E">
        <w:rPr>
          <w:rFonts w:ascii="Times New Roman" w:hAnsi="Times New Roman"/>
          <w:i/>
        </w:rPr>
        <w:t>FOR MAJOR GRANTS (ABOVE $12,000):</w:t>
      </w:r>
    </w:p>
    <w:p w14:paraId="591F71B7" w14:textId="77777777" w:rsidR="009F3F7E" w:rsidRDefault="009F3F7E">
      <w:pPr>
        <w:jc w:val="both"/>
        <w:rPr>
          <w:rFonts w:ascii="Times New Roman" w:hAnsi="Times New Roman"/>
        </w:rPr>
      </w:pPr>
    </w:p>
    <w:p w14:paraId="265A7111" w14:textId="77777777" w:rsidR="009F3F7E" w:rsidRPr="00502A22" w:rsidRDefault="009F3F7E" w:rsidP="00502A22">
      <w:pPr>
        <w:pStyle w:val="ListParagraph"/>
        <w:numPr>
          <w:ilvl w:val="0"/>
          <w:numId w:val="13"/>
        </w:numPr>
        <w:rPr>
          <w:rFonts w:ascii="Times New Roman" w:hAnsi="Times New Roman"/>
        </w:rPr>
      </w:pPr>
      <w:r w:rsidRPr="00502A22">
        <w:rPr>
          <w:rFonts w:ascii="Times New Roman" w:hAnsi="Times New Roman"/>
        </w:rPr>
        <w:t>Monies will be distributed to grantees on a quarterly basis in January, April, July, and October.  Based on the proposed project, an alternate payment schedule may be negotiated.</w:t>
      </w:r>
    </w:p>
    <w:p w14:paraId="76B06F1E" w14:textId="77777777" w:rsidR="009F3F7E" w:rsidRPr="00502A22" w:rsidRDefault="009F3F7E" w:rsidP="00502A22">
      <w:pPr>
        <w:rPr>
          <w:rFonts w:ascii="Times New Roman" w:hAnsi="Times New Roman"/>
        </w:rPr>
      </w:pPr>
    </w:p>
    <w:p w14:paraId="69A3B8D9" w14:textId="77777777" w:rsidR="009F3F7E" w:rsidRPr="00502A22" w:rsidRDefault="009F3F7E" w:rsidP="00502A22">
      <w:pPr>
        <w:pStyle w:val="ListParagraph"/>
        <w:numPr>
          <w:ilvl w:val="0"/>
          <w:numId w:val="13"/>
        </w:numPr>
        <w:rPr>
          <w:rFonts w:ascii="Times New Roman" w:hAnsi="Times New Roman"/>
        </w:rPr>
      </w:pPr>
      <w:r w:rsidRPr="00502A22">
        <w:rPr>
          <w:rFonts w:ascii="Times New Roman" w:hAnsi="Times New Roman"/>
        </w:rPr>
        <w:t xml:space="preserve">A quarterly report in narrative form outlining the progress in achieving the goals of the grant, </w:t>
      </w:r>
      <w:r w:rsidR="00502A22">
        <w:rPr>
          <w:rFonts w:ascii="Times New Roman" w:hAnsi="Times New Roman"/>
        </w:rPr>
        <w:t xml:space="preserve">case closed statistics for IOLTA-funded cases, </w:t>
      </w:r>
      <w:r w:rsidRPr="00502A22">
        <w:rPr>
          <w:rFonts w:ascii="Times New Roman" w:hAnsi="Times New Roman"/>
        </w:rPr>
        <w:t>and a financial statement certified by the grantee’s financial officer or Board president detailing IOLTA income and program expenses.</w:t>
      </w:r>
    </w:p>
    <w:p w14:paraId="48F74CD9" w14:textId="77777777" w:rsidR="009F3F7E" w:rsidRPr="00502A22" w:rsidRDefault="009F3F7E" w:rsidP="00502A22">
      <w:pPr>
        <w:rPr>
          <w:rFonts w:ascii="Times New Roman" w:hAnsi="Times New Roman"/>
        </w:rPr>
      </w:pPr>
    </w:p>
    <w:p w14:paraId="524C0FE0" w14:textId="77777777" w:rsidR="009F3F7E" w:rsidRPr="00502A22" w:rsidRDefault="009F3F7E" w:rsidP="00502A22">
      <w:pPr>
        <w:pStyle w:val="ListParagraph"/>
        <w:numPr>
          <w:ilvl w:val="0"/>
          <w:numId w:val="13"/>
        </w:numPr>
        <w:rPr>
          <w:rFonts w:ascii="Times New Roman" w:hAnsi="Times New Roman"/>
        </w:rPr>
      </w:pPr>
      <w:r w:rsidRPr="00502A22">
        <w:rPr>
          <w:rFonts w:ascii="Times New Roman" w:hAnsi="Times New Roman"/>
        </w:rPr>
        <w:t>30 days after the end of the grant period, a narrative detailing what was accomplished by the use of the funds, including a description of progress made toward achieving the goals of the grant</w:t>
      </w:r>
      <w:r w:rsidR="00502A22">
        <w:rPr>
          <w:rFonts w:ascii="Times New Roman" w:hAnsi="Times New Roman"/>
        </w:rPr>
        <w:t>, case closed statistics for IOLTA-funded cases for the entire grant period</w:t>
      </w:r>
      <w:r w:rsidRPr="00502A22">
        <w:rPr>
          <w:rFonts w:ascii="Times New Roman" w:hAnsi="Times New Roman"/>
        </w:rPr>
        <w:t xml:space="preserve"> and a financial statement detailing the expenditure of IOLTA funds and certified by the grantee’s financial officer and Board president will be submitted.</w:t>
      </w:r>
    </w:p>
    <w:p w14:paraId="4B09E58F" w14:textId="77777777" w:rsidR="009F3F7E" w:rsidRDefault="009F3F7E">
      <w:pPr>
        <w:jc w:val="both"/>
        <w:rPr>
          <w:rFonts w:ascii="Times New Roman" w:hAnsi="Times New Roman"/>
        </w:rPr>
      </w:pPr>
    </w:p>
    <w:p w14:paraId="55B868FA" w14:textId="397F6CB6" w:rsidR="009F3F7E" w:rsidRPr="00592300" w:rsidRDefault="009F3F7E" w:rsidP="00502A22">
      <w:pPr>
        <w:pStyle w:val="ListParagraph"/>
        <w:numPr>
          <w:ilvl w:val="0"/>
          <w:numId w:val="13"/>
        </w:numPr>
        <w:rPr>
          <w:rFonts w:ascii="Times New Roman" w:hAnsi="Times New Roman"/>
        </w:rPr>
      </w:pPr>
      <w:r w:rsidRPr="006C03A7">
        <w:rPr>
          <w:rFonts w:ascii="Times New Roman" w:hAnsi="Times New Roman"/>
        </w:rPr>
        <w:t xml:space="preserve">An annual audit, conducted in accordance with generally accepted auditing standards, with IOLTA income and expenditures reflected as a restricted fund or detailed in a supplemental schedule will be submitted no later than 150 days after the close of the fiscal </w:t>
      </w:r>
      <w:r w:rsidRPr="00592300">
        <w:rPr>
          <w:rFonts w:ascii="Times New Roman" w:hAnsi="Times New Roman"/>
        </w:rPr>
        <w:t>year.</w:t>
      </w:r>
      <w:r w:rsidR="006C03A7" w:rsidRPr="00592300">
        <w:rPr>
          <w:rFonts w:ascii="Times New Roman" w:hAnsi="Times New Roman"/>
        </w:rPr>
        <w:t xml:space="preserve"> </w:t>
      </w:r>
      <w:r w:rsidR="00E30F2B" w:rsidRPr="00592300">
        <w:rPr>
          <w:rFonts w:ascii="Times New Roman" w:hAnsi="Times New Roman"/>
        </w:rPr>
        <w:t>An organization that</w:t>
      </w:r>
      <w:r w:rsidR="00CE6CB2" w:rsidRPr="00592300">
        <w:rPr>
          <w:rFonts w:ascii="Times New Roman" w:hAnsi="Times New Roman"/>
        </w:rPr>
        <w:t xml:space="preserve"> </w:t>
      </w:r>
      <w:r w:rsidR="00592300" w:rsidRPr="00592300">
        <w:rPr>
          <w:rFonts w:ascii="Times New Roman" w:hAnsi="Times New Roman"/>
        </w:rPr>
        <w:t>receives</w:t>
      </w:r>
      <w:r w:rsidR="00CE6CB2" w:rsidRPr="00592300">
        <w:rPr>
          <w:rFonts w:ascii="Times New Roman" w:hAnsi="Times New Roman"/>
        </w:rPr>
        <w:t xml:space="preserve"> less than $750,000 in federal </w:t>
      </w:r>
      <w:r w:rsidR="00592300" w:rsidRPr="00592300">
        <w:rPr>
          <w:rFonts w:ascii="Times New Roman" w:hAnsi="Times New Roman"/>
        </w:rPr>
        <w:t>and</w:t>
      </w:r>
      <w:r w:rsidR="00CE6CB2" w:rsidRPr="00592300">
        <w:rPr>
          <w:rFonts w:ascii="Times New Roman" w:hAnsi="Times New Roman"/>
        </w:rPr>
        <w:t xml:space="preserve"> state </w:t>
      </w:r>
      <w:r w:rsidR="00592300" w:rsidRPr="00592300">
        <w:rPr>
          <w:rFonts w:ascii="Times New Roman" w:hAnsi="Times New Roman"/>
        </w:rPr>
        <w:t xml:space="preserve">funding </w:t>
      </w:r>
      <w:r w:rsidR="00CE6CB2" w:rsidRPr="00592300">
        <w:rPr>
          <w:rFonts w:ascii="Times New Roman" w:hAnsi="Times New Roman"/>
        </w:rPr>
        <w:t xml:space="preserve">must have </w:t>
      </w:r>
      <w:r w:rsidR="00CE6CB2" w:rsidRPr="00592300">
        <w:rPr>
          <w:rFonts w:ascii="Times New Roman" w:hAnsi="Times New Roman"/>
          <w:i/>
          <w:iCs/>
        </w:rPr>
        <w:t>either</w:t>
      </w:r>
      <w:r w:rsidR="00CE6CB2" w:rsidRPr="00592300">
        <w:rPr>
          <w:rFonts w:ascii="Times New Roman" w:hAnsi="Times New Roman"/>
        </w:rPr>
        <w:t xml:space="preserve"> </w:t>
      </w:r>
      <w:r w:rsidR="00592300">
        <w:rPr>
          <w:rFonts w:ascii="Times New Roman" w:hAnsi="Times New Roman"/>
        </w:rPr>
        <w:t>a</w:t>
      </w:r>
      <w:r w:rsidR="00592300" w:rsidRPr="00502A22">
        <w:rPr>
          <w:rFonts w:ascii="Times New Roman" w:hAnsi="Times New Roman"/>
        </w:rPr>
        <w:t>n annual audit, conducted in accordance with generally accepted auditing standards, with IOLTA income and expenditures reflected as a restricted fund or detailed in a supplemental schedule submitted no later than 150 days after the close of the fiscal year</w:t>
      </w:r>
      <w:r w:rsidR="00592300">
        <w:rPr>
          <w:rFonts w:ascii="Times New Roman" w:hAnsi="Times New Roman"/>
        </w:rPr>
        <w:t xml:space="preserve">, </w:t>
      </w:r>
      <w:r w:rsidR="00CE6CB2" w:rsidRPr="00592300">
        <w:rPr>
          <w:rFonts w:ascii="Times New Roman" w:hAnsi="Times New Roman"/>
          <w:i/>
          <w:iCs/>
        </w:rPr>
        <w:t>or</w:t>
      </w:r>
      <w:r w:rsidR="00CE6CB2" w:rsidRPr="00592300">
        <w:rPr>
          <w:rFonts w:ascii="Times New Roman" w:hAnsi="Times New Roman"/>
        </w:rPr>
        <w:t xml:space="preserve"> </w:t>
      </w:r>
      <w:r w:rsidR="00592300" w:rsidRPr="00502A22">
        <w:rPr>
          <w:rFonts w:ascii="Times New Roman" w:hAnsi="Times New Roman"/>
        </w:rPr>
        <w:t xml:space="preserve">a year-end organization wide </w:t>
      </w:r>
      <w:r w:rsidR="00592300">
        <w:rPr>
          <w:rFonts w:ascii="Times New Roman" w:hAnsi="Times New Roman"/>
        </w:rPr>
        <w:t xml:space="preserve">reviewed </w:t>
      </w:r>
      <w:r w:rsidR="00592300" w:rsidRPr="00502A22">
        <w:rPr>
          <w:rFonts w:ascii="Times New Roman" w:hAnsi="Times New Roman"/>
        </w:rPr>
        <w:t>financial statement, with IOLTA grant expenditures detailed in a supplemental schedule, and certified by the Board chairperson and chief financial officer submitted no later than 90 days after the close of the fiscal year.</w:t>
      </w:r>
    </w:p>
    <w:p w14:paraId="1EA02A58" w14:textId="77777777" w:rsidR="009F3F7E" w:rsidRDefault="009F3F7E">
      <w:pPr>
        <w:jc w:val="both"/>
        <w:rPr>
          <w:rFonts w:ascii="Times New Roman" w:hAnsi="Times New Roman"/>
        </w:rPr>
      </w:pPr>
    </w:p>
    <w:p w14:paraId="01853E8D" w14:textId="77777777" w:rsidR="009F3F7E" w:rsidRDefault="009F3F7E">
      <w:pPr>
        <w:tabs>
          <w:tab w:val="left" w:pos="-1440"/>
        </w:tabs>
        <w:ind w:left="720" w:hanging="720"/>
        <w:jc w:val="both"/>
        <w:rPr>
          <w:rFonts w:ascii="Times New Roman" w:hAnsi="Times New Roman"/>
        </w:rPr>
      </w:pPr>
      <w:r>
        <w:rPr>
          <w:rFonts w:ascii="Times New Roman" w:hAnsi="Times New Roman"/>
        </w:rPr>
        <w:t>C.</w:t>
      </w:r>
      <w:r>
        <w:rPr>
          <w:rFonts w:ascii="Times New Roman" w:hAnsi="Times New Roman"/>
        </w:rPr>
        <w:tab/>
        <w:t>All grantees will submit a copy of any material produced with the use of IOLTA funds.</w:t>
      </w:r>
    </w:p>
    <w:p w14:paraId="76C748B6" w14:textId="77777777" w:rsidR="00E30F2B" w:rsidRDefault="00E30F2B" w:rsidP="00592300">
      <w:pPr>
        <w:tabs>
          <w:tab w:val="left" w:pos="-1440"/>
        </w:tabs>
        <w:jc w:val="both"/>
        <w:rPr>
          <w:rFonts w:ascii="Times New Roman" w:hAnsi="Times New Roman"/>
        </w:rPr>
      </w:pPr>
    </w:p>
    <w:p w14:paraId="4C36AEC1" w14:textId="3A1FF358" w:rsidR="00786212" w:rsidRDefault="00786212" w:rsidP="00786212">
      <w:pPr>
        <w:tabs>
          <w:tab w:val="left" w:pos="-1440"/>
        </w:tabs>
        <w:ind w:left="720" w:hanging="720"/>
        <w:jc w:val="both"/>
        <w:rPr>
          <w:rFonts w:ascii="Times New Roman" w:hAnsi="Times New Roman"/>
        </w:rPr>
      </w:pPr>
      <w:r>
        <w:rPr>
          <w:rFonts w:ascii="Times New Roman" w:hAnsi="Times New Roman"/>
        </w:rPr>
        <w:t>D.</w:t>
      </w:r>
      <w:r>
        <w:rPr>
          <w:rFonts w:ascii="Times New Roman" w:hAnsi="Times New Roman"/>
        </w:rPr>
        <w:tab/>
      </w:r>
      <w:r w:rsidR="00CA1984">
        <w:rPr>
          <w:rFonts w:ascii="Times New Roman" w:hAnsi="Times New Roman"/>
        </w:rPr>
        <w:t>Grantees</w:t>
      </w:r>
      <w:r>
        <w:rPr>
          <w:rFonts w:ascii="Times New Roman" w:hAnsi="Times New Roman"/>
        </w:rPr>
        <w:t xml:space="preserve"> agree to notify or provide to the Fund as soon as possible, but not later than thirty </w:t>
      </w:r>
      <w:r>
        <w:rPr>
          <w:rFonts w:ascii="Times New Roman" w:hAnsi="Times New Roman"/>
        </w:rPr>
        <w:lastRenderedPageBreak/>
        <w:t>(30) days, of any material developments or changes occurring in the grantee's program during the grant period for which this grant is made.  Examples of material developments or changes include, but are not limited to:</w:t>
      </w:r>
    </w:p>
    <w:p w14:paraId="68DB064A" w14:textId="77777777" w:rsidR="00786212" w:rsidRDefault="00786212" w:rsidP="00786212">
      <w:pPr>
        <w:jc w:val="both"/>
        <w:rPr>
          <w:rFonts w:ascii="Times New Roman" w:hAnsi="Times New Roman"/>
        </w:rPr>
      </w:pPr>
    </w:p>
    <w:p w14:paraId="358D3F77" w14:textId="77777777" w:rsidR="00786212" w:rsidRDefault="00786212" w:rsidP="00786212">
      <w:pPr>
        <w:tabs>
          <w:tab w:val="left" w:pos="-1440"/>
        </w:tabs>
        <w:ind w:left="2160" w:hanging="720"/>
        <w:jc w:val="both"/>
        <w:rPr>
          <w:rFonts w:ascii="Times New Roman" w:hAnsi="Times New Roman"/>
        </w:rPr>
      </w:pPr>
      <w:r>
        <w:rPr>
          <w:rFonts w:ascii="Times New Roman" w:hAnsi="Times New Roman"/>
        </w:rPr>
        <w:t>a.</w:t>
      </w:r>
      <w:r>
        <w:rPr>
          <w:rFonts w:ascii="Times New Roman" w:hAnsi="Times New Roman"/>
        </w:rPr>
        <w:tab/>
        <w:t>Change of program director, contact person, telephone number, or office location.</w:t>
      </w:r>
    </w:p>
    <w:p w14:paraId="41AF45D3" w14:textId="467A094A" w:rsidR="00502A22" w:rsidRPr="00E31775" w:rsidRDefault="00786212" w:rsidP="00502A22">
      <w:pPr>
        <w:numPr>
          <w:ilvl w:val="0"/>
          <w:numId w:val="10"/>
        </w:numPr>
        <w:tabs>
          <w:tab w:val="left" w:pos="-1440"/>
        </w:tabs>
        <w:jc w:val="both"/>
        <w:rPr>
          <w:rFonts w:ascii="Times New Roman" w:hAnsi="Times New Roman"/>
        </w:rPr>
      </w:pPr>
      <w:r>
        <w:rPr>
          <w:rFonts w:ascii="Times New Roman" w:hAnsi="Times New Roman"/>
        </w:rPr>
        <w:t>Changes in tax status.</w:t>
      </w:r>
    </w:p>
    <w:p w14:paraId="7C1676FB" w14:textId="77777777" w:rsidR="00786212" w:rsidRDefault="00786212" w:rsidP="00786212">
      <w:pPr>
        <w:numPr>
          <w:ilvl w:val="0"/>
          <w:numId w:val="10"/>
        </w:numPr>
        <w:tabs>
          <w:tab w:val="left" w:pos="-1440"/>
        </w:tabs>
        <w:jc w:val="both"/>
        <w:rPr>
          <w:rFonts w:ascii="Times New Roman" w:hAnsi="Times New Roman"/>
        </w:rPr>
      </w:pPr>
      <w:r>
        <w:rPr>
          <w:rFonts w:ascii="Times New Roman" w:hAnsi="Times New Roman"/>
        </w:rPr>
        <w:t>Any final audit conducted in-house or by any governmental agency.</w:t>
      </w:r>
    </w:p>
    <w:p w14:paraId="04DF7865" w14:textId="77777777" w:rsidR="00786212" w:rsidRDefault="00786212" w:rsidP="00786212">
      <w:pPr>
        <w:numPr>
          <w:ilvl w:val="0"/>
          <w:numId w:val="10"/>
        </w:numPr>
        <w:tabs>
          <w:tab w:val="left" w:pos="-1440"/>
        </w:tabs>
        <w:jc w:val="both"/>
        <w:rPr>
          <w:rFonts w:ascii="Times New Roman" w:hAnsi="Times New Roman"/>
        </w:rPr>
      </w:pPr>
      <w:r>
        <w:rPr>
          <w:rFonts w:ascii="Times New Roman" w:hAnsi="Times New Roman"/>
        </w:rPr>
        <w:t>Changes or additions to the scope of activities of the grantee organization.</w:t>
      </w:r>
    </w:p>
    <w:p w14:paraId="0C1A5BE3" w14:textId="77777777" w:rsidR="00786212" w:rsidRDefault="00786212" w:rsidP="00786212">
      <w:pPr>
        <w:jc w:val="both"/>
        <w:rPr>
          <w:rFonts w:ascii="Times New Roman" w:hAnsi="Times New Roman"/>
        </w:rPr>
      </w:pPr>
    </w:p>
    <w:p w14:paraId="6A43D8D9" w14:textId="77777777" w:rsidR="0057379C" w:rsidRPr="0057379C" w:rsidRDefault="0057379C" w:rsidP="0057379C">
      <w:pPr>
        <w:ind w:left="720" w:hanging="720"/>
        <w:rPr>
          <w:rFonts w:ascii="Times New Roman" w:hAnsi="Times New Roman"/>
        </w:rPr>
      </w:pPr>
      <w:r>
        <w:rPr>
          <w:rFonts w:ascii="Times New Roman" w:hAnsi="Times New Roman"/>
        </w:rPr>
        <w:t>E.</w:t>
      </w:r>
      <w:r>
        <w:rPr>
          <w:rFonts w:ascii="Times New Roman" w:hAnsi="Times New Roman"/>
        </w:rPr>
        <w:tab/>
      </w:r>
      <w:r w:rsidR="00CA1984">
        <w:rPr>
          <w:rFonts w:ascii="Times New Roman" w:hAnsi="Times New Roman"/>
        </w:rPr>
        <w:t>Grantees</w:t>
      </w:r>
      <w:r w:rsidRPr="0057379C">
        <w:rPr>
          <w:rFonts w:ascii="Times New Roman" w:hAnsi="Times New Roman"/>
        </w:rPr>
        <w:t xml:space="preserve"> will, upon request, cooperate fully with all information requests, data collection, and evaluation activities undertaken by the IOLTA Fund, including on-site visits, and give any authorized representative of the Fund access to any copies of all financial records, books, papers, or documents, provided that the Fund shall not have access to any reports, records, or information restricted by attorney-client confidentiality.</w:t>
      </w:r>
      <w:r w:rsidR="00CA1984">
        <w:rPr>
          <w:rFonts w:ascii="Times New Roman" w:hAnsi="Times New Roman"/>
        </w:rPr>
        <w:t xml:space="preserve"> </w:t>
      </w:r>
      <w:r w:rsidRPr="0057379C">
        <w:rPr>
          <w:rFonts w:ascii="Times New Roman" w:hAnsi="Times New Roman"/>
        </w:rPr>
        <w:t xml:space="preserve"> </w:t>
      </w:r>
      <w:proofErr w:type="gramStart"/>
      <w:r w:rsidRPr="0057379C">
        <w:rPr>
          <w:rFonts w:ascii="Times New Roman" w:hAnsi="Times New Roman"/>
        </w:rPr>
        <w:t>Applicant</w:t>
      </w:r>
      <w:proofErr w:type="gramEnd"/>
      <w:r w:rsidRPr="0057379C">
        <w:rPr>
          <w:rFonts w:ascii="Times New Roman" w:hAnsi="Times New Roman"/>
        </w:rPr>
        <w:t xml:space="preserve"> will</w:t>
      </w:r>
      <w:r w:rsidR="00CA1984">
        <w:rPr>
          <w:rFonts w:ascii="Times New Roman" w:hAnsi="Times New Roman"/>
        </w:rPr>
        <w:t>,</w:t>
      </w:r>
      <w:r w:rsidRPr="0057379C">
        <w:rPr>
          <w:rFonts w:ascii="Times New Roman" w:hAnsi="Times New Roman"/>
        </w:rPr>
        <w:t xml:space="preserve"> upon request</w:t>
      </w:r>
      <w:r w:rsidR="00CA1984">
        <w:rPr>
          <w:rFonts w:ascii="Times New Roman" w:hAnsi="Times New Roman"/>
        </w:rPr>
        <w:t>, provide</w:t>
      </w:r>
      <w:r w:rsidRPr="0057379C">
        <w:rPr>
          <w:rFonts w:ascii="Times New Roman" w:hAnsi="Times New Roman"/>
        </w:rPr>
        <w:t xml:space="preserve"> copies of documents to the Fund without charge.</w:t>
      </w:r>
    </w:p>
    <w:p w14:paraId="47E2DE50" w14:textId="77777777" w:rsidR="009F3F7E" w:rsidRDefault="009F3F7E">
      <w:pPr>
        <w:jc w:val="both"/>
        <w:rPr>
          <w:rFonts w:ascii="Times New Roman" w:hAnsi="Times New Roman"/>
        </w:rPr>
      </w:pPr>
      <w:r>
        <w:rPr>
          <w:rFonts w:ascii="Times New Roman" w:hAnsi="Times New Roman"/>
        </w:rPr>
        <w:br w:type="page"/>
      </w:r>
    </w:p>
    <w:p w14:paraId="657788F7" w14:textId="77777777" w:rsidR="009F3F7E" w:rsidRDefault="009F3F7E">
      <w:pPr>
        <w:jc w:val="both"/>
        <w:rPr>
          <w:rFonts w:ascii="Times New Roman" w:hAnsi="Times New Roman"/>
        </w:rPr>
      </w:pPr>
    </w:p>
    <w:p w14:paraId="35CE46C5" w14:textId="77777777" w:rsidR="009F3F7E" w:rsidRPr="0021444C" w:rsidRDefault="0021444C" w:rsidP="002E22BE">
      <w:pPr>
        <w:shd w:val="clear" w:color="auto" w:fill="C6D9F1"/>
        <w:jc w:val="both"/>
        <w:rPr>
          <w:rFonts w:ascii="Arial" w:hAnsi="Arial" w:cs="Arial"/>
          <w:b/>
        </w:rPr>
      </w:pPr>
      <w:r w:rsidRPr="0021444C">
        <w:rPr>
          <w:rFonts w:ascii="Arial" w:hAnsi="Arial" w:cs="Arial"/>
          <w:b/>
        </w:rPr>
        <w:t>Income Eligibility for Clients Served Under IOLTA Grants</w:t>
      </w:r>
    </w:p>
    <w:p w14:paraId="457DC1A4" w14:textId="77777777" w:rsidR="008B1CAB" w:rsidRDefault="008B1CAB" w:rsidP="008B1CAB">
      <w:pPr>
        <w:widowControl/>
        <w:tabs>
          <w:tab w:val="left" w:pos="900"/>
        </w:tabs>
        <w:jc w:val="both"/>
        <w:rPr>
          <w:rFonts w:ascii="Times New Roman" w:hAnsi="Times New Roman"/>
          <w:szCs w:val="24"/>
        </w:rPr>
      </w:pPr>
    </w:p>
    <w:p w14:paraId="047A94C3" w14:textId="77777777" w:rsidR="008B1CAB" w:rsidRPr="00EE5C06" w:rsidRDefault="006C0095" w:rsidP="008B1CAB">
      <w:pPr>
        <w:widowControl/>
        <w:tabs>
          <w:tab w:val="left" w:pos="900"/>
        </w:tabs>
        <w:jc w:val="both"/>
        <w:rPr>
          <w:rFonts w:ascii="Times New Roman" w:hAnsi="Times New Roman"/>
          <w:szCs w:val="24"/>
        </w:rPr>
      </w:pPr>
      <w:r w:rsidRPr="006C0095">
        <w:rPr>
          <w:rFonts w:ascii="Times New Roman" w:hAnsi="Times New Roman"/>
          <w:szCs w:val="24"/>
        </w:rPr>
        <w:t>Free legal s</w:t>
      </w:r>
      <w:r w:rsidR="008B1CAB" w:rsidRPr="006C0095">
        <w:rPr>
          <w:rFonts w:ascii="Times New Roman" w:hAnsi="Times New Roman"/>
          <w:szCs w:val="24"/>
        </w:rPr>
        <w:t xml:space="preserve">ervices are intended to be provided to those </w:t>
      </w:r>
      <w:proofErr w:type="gramStart"/>
      <w:r w:rsidR="008B1CAB" w:rsidRPr="006C0095">
        <w:rPr>
          <w:rFonts w:ascii="Times New Roman" w:hAnsi="Times New Roman"/>
          <w:szCs w:val="24"/>
        </w:rPr>
        <w:t>persons</w:t>
      </w:r>
      <w:proofErr w:type="gramEnd"/>
      <w:r w:rsidR="008B1CAB" w:rsidRPr="006C0095">
        <w:rPr>
          <w:rFonts w:ascii="Times New Roman" w:hAnsi="Times New Roman"/>
          <w:szCs w:val="24"/>
        </w:rPr>
        <w:t xml:space="preserve"> who are unable to afford legal assistance.  </w:t>
      </w:r>
      <w:r>
        <w:rPr>
          <w:rFonts w:ascii="Times New Roman" w:hAnsi="Times New Roman"/>
          <w:szCs w:val="24"/>
        </w:rPr>
        <w:t xml:space="preserve">Financial </w:t>
      </w:r>
      <w:r w:rsidR="008B1CAB" w:rsidRPr="006C0095">
        <w:rPr>
          <w:rFonts w:ascii="Times New Roman" w:hAnsi="Times New Roman"/>
          <w:szCs w:val="24"/>
        </w:rPr>
        <w:t xml:space="preserve">eligibility for services under this agreement shall be subject to a modified net income level (MIL) as further defined below, set at </w:t>
      </w:r>
      <w:r>
        <w:rPr>
          <w:rFonts w:ascii="Times New Roman" w:hAnsi="Times New Roman"/>
          <w:szCs w:val="24"/>
        </w:rPr>
        <w:t xml:space="preserve">a maximum of </w:t>
      </w:r>
      <w:r w:rsidR="00562972">
        <w:rPr>
          <w:rFonts w:ascii="Times New Roman" w:hAnsi="Times New Roman"/>
          <w:szCs w:val="24"/>
        </w:rPr>
        <w:t>300</w:t>
      </w:r>
      <w:r w:rsidR="008B1CAB" w:rsidRPr="006C0095">
        <w:rPr>
          <w:rFonts w:ascii="Times New Roman" w:hAnsi="Times New Roman"/>
          <w:szCs w:val="24"/>
        </w:rPr>
        <w:t xml:space="preserve">% of the most recent United States Department of Health and Human Services (HHS) poverty guidelines for the </w:t>
      </w:r>
      <w:proofErr w:type="gramStart"/>
      <w:r w:rsidR="008B1CAB" w:rsidRPr="006C0095">
        <w:rPr>
          <w:rFonts w:ascii="Times New Roman" w:hAnsi="Times New Roman"/>
          <w:szCs w:val="24"/>
        </w:rPr>
        <w:t>particular family</w:t>
      </w:r>
      <w:proofErr w:type="gramEnd"/>
      <w:r w:rsidR="008B1CAB" w:rsidRPr="006C0095">
        <w:rPr>
          <w:rFonts w:ascii="Times New Roman" w:hAnsi="Times New Roman"/>
          <w:szCs w:val="24"/>
        </w:rPr>
        <w:t xml:space="preserve"> size, as expressed in the following table:</w:t>
      </w:r>
    </w:p>
    <w:p w14:paraId="6DA9AAB2" w14:textId="77777777" w:rsidR="009F3F7E" w:rsidRDefault="009F3F7E">
      <w:pPr>
        <w:jc w:val="both"/>
        <w:rPr>
          <w:rFonts w:ascii="Times New Roman" w:hAnsi="Times New Roman"/>
        </w:rPr>
      </w:pPr>
    </w:p>
    <w:tbl>
      <w:tblPr>
        <w:tblW w:w="0" w:type="auto"/>
        <w:tblLayout w:type="fixed"/>
        <w:tblLook w:val="0000" w:firstRow="0" w:lastRow="0" w:firstColumn="0" w:lastColumn="0" w:noHBand="0" w:noVBand="0"/>
      </w:tblPr>
      <w:tblGrid>
        <w:gridCol w:w="2995"/>
        <w:gridCol w:w="2380"/>
        <w:gridCol w:w="4093"/>
      </w:tblGrid>
      <w:tr w:rsidR="00C8463D" w:rsidRPr="00B05999" w14:paraId="0A09C3C0" w14:textId="77777777" w:rsidTr="00300E84">
        <w:trPr>
          <w:trHeight w:val="305"/>
        </w:trPr>
        <w:tc>
          <w:tcPr>
            <w:tcW w:w="9468" w:type="dxa"/>
            <w:gridSpan w:val="3"/>
            <w:tcBorders>
              <w:top w:val="single" w:sz="2" w:space="0" w:color="000000"/>
              <w:left w:val="single" w:sz="2" w:space="0" w:color="000000"/>
              <w:bottom w:val="single" w:sz="2" w:space="0" w:color="000000"/>
              <w:right w:val="single" w:sz="2" w:space="0" w:color="000000"/>
            </w:tcBorders>
          </w:tcPr>
          <w:p w14:paraId="21064ECD" w14:textId="394669C1" w:rsidR="00C8463D" w:rsidRPr="00E31775" w:rsidRDefault="00562972" w:rsidP="009616FB">
            <w:pPr>
              <w:widowControl/>
              <w:autoSpaceDE w:val="0"/>
              <w:autoSpaceDN w:val="0"/>
              <w:adjustRightInd w:val="0"/>
              <w:rPr>
                <w:rFonts w:ascii="Calibri" w:hAnsi="Calibri" w:cs="Calibri"/>
                <w:snapToGrid/>
                <w:color w:val="000000"/>
                <w:sz w:val="22"/>
                <w:szCs w:val="22"/>
              </w:rPr>
            </w:pPr>
            <w:r w:rsidRPr="00E31775">
              <w:rPr>
                <w:rFonts w:ascii="Arial" w:hAnsi="Arial" w:cs="Arial"/>
                <w:b/>
                <w:bCs/>
                <w:snapToGrid/>
                <w:color w:val="000000"/>
                <w:szCs w:val="24"/>
              </w:rPr>
              <w:t>202</w:t>
            </w:r>
            <w:r w:rsidR="00E31775" w:rsidRPr="00E31775">
              <w:rPr>
                <w:rFonts w:ascii="Arial" w:hAnsi="Arial" w:cs="Arial"/>
                <w:b/>
                <w:bCs/>
                <w:snapToGrid/>
                <w:color w:val="000000"/>
                <w:szCs w:val="24"/>
              </w:rPr>
              <w:t>5</w:t>
            </w:r>
            <w:r w:rsidR="005E2D95" w:rsidRPr="00E31775">
              <w:rPr>
                <w:rFonts w:ascii="Arial" w:hAnsi="Arial" w:cs="Arial"/>
                <w:b/>
                <w:bCs/>
                <w:snapToGrid/>
                <w:color w:val="000000"/>
                <w:szCs w:val="24"/>
              </w:rPr>
              <w:t xml:space="preserve"> </w:t>
            </w:r>
            <w:r w:rsidR="00C8463D" w:rsidRPr="00E31775">
              <w:rPr>
                <w:rFonts w:ascii="Arial" w:hAnsi="Arial" w:cs="Arial"/>
                <w:b/>
                <w:bCs/>
                <w:snapToGrid/>
                <w:color w:val="000000"/>
                <w:szCs w:val="24"/>
              </w:rPr>
              <w:t xml:space="preserve">HHS Poverty Guidelines </w:t>
            </w:r>
          </w:p>
        </w:tc>
      </w:tr>
      <w:tr w:rsidR="00C8463D" w:rsidRPr="00B05999" w14:paraId="5E489BF0" w14:textId="77777777" w:rsidTr="00300E84">
        <w:trPr>
          <w:trHeight w:val="406"/>
        </w:trPr>
        <w:tc>
          <w:tcPr>
            <w:tcW w:w="9468" w:type="dxa"/>
            <w:gridSpan w:val="3"/>
            <w:tcBorders>
              <w:top w:val="single" w:sz="2" w:space="0" w:color="000000"/>
              <w:left w:val="single" w:sz="2" w:space="0" w:color="000000"/>
              <w:bottom w:val="single" w:sz="2" w:space="0" w:color="000000"/>
              <w:right w:val="single" w:sz="2" w:space="0" w:color="000000"/>
            </w:tcBorders>
          </w:tcPr>
          <w:p w14:paraId="33A755D9" w14:textId="7A26F941" w:rsidR="00FE2AD5" w:rsidRPr="00E31775" w:rsidRDefault="00C8463D" w:rsidP="00FE2AD5">
            <w:pPr>
              <w:jc w:val="both"/>
              <w:rPr>
                <w:rFonts w:ascii="Calibri" w:hAnsi="Calibri" w:cs="Verdana"/>
                <w:b/>
                <w:bCs/>
                <w:i/>
                <w:iCs/>
                <w:snapToGrid/>
                <w:color w:val="000000"/>
                <w:sz w:val="18"/>
                <w:szCs w:val="18"/>
              </w:rPr>
            </w:pPr>
            <w:r w:rsidRPr="00E31775">
              <w:rPr>
                <w:rFonts w:ascii="Calibri" w:hAnsi="Calibri" w:cs="Verdana"/>
                <w:b/>
                <w:bCs/>
                <w:i/>
                <w:iCs/>
                <w:snapToGrid/>
                <w:color w:val="000000"/>
                <w:sz w:val="18"/>
                <w:szCs w:val="18"/>
              </w:rPr>
              <w:t xml:space="preserve">(Effective January </w:t>
            </w:r>
            <w:r w:rsidR="00562972" w:rsidRPr="00E31775">
              <w:rPr>
                <w:rFonts w:ascii="Calibri" w:hAnsi="Calibri" w:cs="Verdana"/>
                <w:b/>
                <w:bCs/>
                <w:i/>
                <w:iCs/>
                <w:snapToGrid/>
                <w:color w:val="000000"/>
                <w:sz w:val="18"/>
                <w:szCs w:val="18"/>
              </w:rPr>
              <w:t>202</w:t>
            </w:r>
            <w:r w:rsidR="00E31775" w:rsidRPr="00E31775">
              <w:rPr>
                <w:rFonts w:ascii="Calibri" w:hAnsi="Calibri" w:cs="Verdana"/>
                <w:b/>
                <w:bCs/>
                <w:i/>
                <w:iCs/>
                <w:snapToGrid/>
                <w:color w:val="000000"/>
                <w:sz w:val="18"/>
                <w:szCs w:val="18"/>
              </w:rPr>
              <w:t>5</w:t>
            </w:r>
            <w:r w:rsidRPr="00E31775">
              <w:rPr>
                <w:rFonts w:ascii="Calibri" w:hAnsi="Calibri" w:cs="Verdana"/>
                <w:b/>
                <w:bCs/>
                <w:i/>
                <w:iCs/>
                <w:snapToGrid/>
                <w:color w:val="000000"/>
                <w:sz w:val="18"/>
                <w:szCs w:val="18"/>
              </w:rPr>
              <w:t>)</w:t>
            </w:r>
            <w:r w:rsidR="0058155E" w:rsidRPr="00E31775">
              <w:rPr>
                <w:rFonts w:ascii="Calibri" w:hAnsi="Calibri" w:cs="Verdana"/>
                <w:b/>
                <w:bCs/>
                <w:i/>
                <w:iCs/>
                <w:snapToGrid/>
                <w:color w:val="000000"/>
                <w:sz w:val="18"/>
                <w:szCs w:val="18"/>
              </w:rPr>
              <w:t xml:space="preserve"> </w:t>
            </w:r>
          </w:p>
          <w:p w14:paraId="3595290B" w14:textId="7CB20709" w:rsidR="00C8463D" w:rsidRPr="00E31775" w:rsidRDefault="00562972" w:rsidP="00FE2AD5">
            <w:pPr>
              <w:jc w:val="both"/>
              <w:rPr>
                <w:sz w:val="20"/>
              </w:rPr>
            </w:pPr>
            <w:r w:rsidRPr="00E31775">
              <w:rPr>
                <w:rFonts w:asciiTheme="minorHAnsi" w:hAnsiTheme="minorHAnsi"/>
                <w:sz w:val="20"/>
              </w:rPr>
              <w:t>The 202</w:t>
            </w:r>
            <w:r w:rsidR="00E31775" w:rsidRPr="00E31775">
              <w:rPr>
                <w:rFonts w:asciiTheme="minorHAnsi" w:hAnsiTheme="minorHAnsi"/>
                <w:sz w:val="20"/>
              </w:rPr>
              <w:t>5</w:t>
            </w:r>
            <w:r w:rsidR="00FE2AD5" w:rsidRPr="00E31775">
              <w:rPr>
                <w:rFonts w:asciiTheme="minorHAnsi" w:hAnsiTheme="minorHAnsi"/>
                <w:sz w:val="20"/>
              </w:rPr>
              <w:t xml:space="preserve"> guidelines will remain in place until the </w:t>
            </w:r>
            <w:r w:rsidR="00EA68C6" w:rsidRPr="00E31775">
              <w:rPr>
                <w:rFonts w:asciiTheme="minorHAnsi" w:hAnsiTheme="minorHAnsi"/>
                <w:sz w:val="20"/>
              </w:rPr>
              <w:t>20</w:t>
            </w:r>
            <w:r w:rsidRPr="00E31775">
              <w:rPr>
                <w:rFonts w:asciiTheme="minorHAnsi" w:hAnsiTheme="minorHAnsi"/>
                <w:sz w:val="20"/>
              </w:rPr>
              <w:t>2</w:t>
            </w:r>
            <w:r w:rsidR="00E31775" w:rsidRPr="00E31775">
              <w:rPr>
                <w:rFonts w:asciiTheme="minorHAnsi" w:hAnsiTheme="minorHAnsi"/>
                <w:sz w:val="20"/>
              </w:rPr>
              <w:t>6</w:t>
            </w:r>
            <w:r w:rsidR="00FE2AD5" w:rsidRPr="00E31775">
              <w:rPr>
                <w:rFonts w:asciiTheme="minorHAnsi" w:hAnsiTheme="minorHAnsi"/>
                <w:sz w:val="20"/>
              </w:rPr>
              <w:t xml:space="preserve"> guidelines are published. Please refer to the following website for updated information when it becomes available: </w:t>
            </w:r>
            <w:r w:rsidR="00726CFA" w:rsidRPr="00E31775">
              <w:rPr>
                <w:rFonts w:asciiTheme="minorHAnsi" w:hAnsiTheme="minorHAnsi" w:cstheme="minorHAnsi"/>
                <w:sz w:val="20"/>
              </w:rPr>
              <w:t>https://</w:t>
            </w:r>
            <w:r w:rsidR="00D23EB6" w:rsidRPr="00E31775">
              <w:rPr>
                <w:rFonts w:asciiTheme="minorHAnsi" w:hAnsiTheme="minorHAnsi" w:cstheme="minorHAnsi"/>
                <w:sz w:val="20"/>
              </w:rPr>
              <w:t>aspe.hhs.gov/topics/poverty-economic-mobility/poverty-guidelines</w:t>
            </w:r>
          </w:p>
          <w:p w14:paraId="36546237" w14:textId="77777777" w:rsidR="00FE2AD5" w:rsidRPr="00E31775" w:rsidRDefault="00FE2AD5" w:rsidP="00FE2AD5">
            <w:pPr>
              <w:jc w:val="both"/>
              <w:rPr>
                <w:rFonts w:ascii="Calibri" w:hAnsi="Calibri" w:cs="Calibri"/>
                <w:snapToGrid/>
                <w:color w:val="000000"/>
                <w:sz w:val="22"/>
                <w:szCs w:val="22"/>
              </w:rPr>
            </w:pPr>
          </w:p>
        </w:tc>
      </w:tr>
      <w:tr w:rsidR="00C8463D" w:rsidRPr="00B05999" w14:paraId="23567BBD" w14:textId="77777777" w:rsidTr="00300E84">
        <w:trPr>
          <w:trHeight w:val="290"/>
        </w:trPr>
        <w:tc>
          <w:tcPr>
            <w:tcW w:w="2995" w:type="dxa"/>
            <w:tcBorders>
              <w:top w:val="single" w:sz="2" w:space="0" w:color="000000"/>
              <w:left w:val="single" w:sz="2" w:space="0" w:color="000000"/>
              <w:bottom w:val="single" w:sz="2" w:space="0" w:color="000000"/>
              <w:right w:val="single" w:sz="2" w:space="0" w:color="000000"/>
            </w:tcBorders>
          </w:tcPr>
          <w:p w14:paraId="22933CBA" w14:textId="77777777" w:rsidR="00C8463D" w:rsidRPr="00E31775" w:rsidRDefault="00C8463D" w:rsidP="00B05999">
            <w:pPr>
              <w:widowControl/>
              <w:autoSpaceDE w:val="0"/>
              <w:autoSpaceDN w:val="0"/>
              <w:adjustRightInd w:val="0"/>
              <w:jc w:val="center"/>
              <w:rPr>
                <w:rFonts w:ascii="Calibri" w:hAnsi="Calibri" w:cs="Verdana"/>
                <w:b/>
                <w:bCs/>
                <w:snapToGrid/>
                <w:color w:val="000000"/>
                <w:sz w:val="22"/>
                <w:szCs w:val="22"/>
              </w:rPr>
            </w:pPr>
            <w:r w:rsidRPr="00E31775">
              <w:rPr>
                <w:rFonts w:ascii="Calibri" w:hAnsi="Calibri" w:cs="Verdana"/>
                <w:b/>
                <w:bCs/>
                <w:snapToGrid/>
                <w:color w:val="000000"/>
                <w:sz w:val="22"/>
                <w:szCs w:val="22"/>
              </w:rPr>
              <w:t>Persons in family/household</w:t>
            </w:r>
          </w:p>
        </w:tc>
        <w:tc>
          <w:tcPr>
            <w:tcW w:w="2380" w:type="dxa"/>
            <w:tcBorders>
              <w:top w:val="single" w:sz="2" w:space="0" w:color="000000"/>
              <w:left w:val="single" w:sz="2" w:space="0" w:color="000000"/>
              <w:bottom w:val="single" w:sz="2" w:space="0" w:color="000000"/>
              <w:right w:val="single" w:sz="2" w:space="0" w:color="000000"/>
            </w:tcBorders>
          </w:tcPr>
          <w:p w14:paraId="058D6CB0" w14:textId="77777777" w:rsidR="00C8463D" w:rsidRPr="00E31775" w:rsidRDefault="00F24E4A" w:rsidP="00AD796C">
            <w:pPr>
              <w:widowControl/>
              <w:autoSpaceDE w:val="0"/>
              <w:autoSpaceDN w:val="0"/>
              <w:adjustRightInd w:val="0"/>
              <w:jc w:val="center"/>
              <w:rPr>
                <w:rFonts w:ascii="Calibri" w:hAnsi="Calibri" w:cs="Calibri"/>
                <w:b/>
                <w:bCs/>
                <w:snapToGrid/>
                <w:color w:val="000000"/>
                <w:sz w:val="22"/>
                <w:szCs w:val="22"/>
              </w:rPr>
            </w:pPr>
            <w:r w:rsidRPr="00E31775">
              <w:rPr>
                <w:rFonts w:ascii="Calibri" w:hAnsi="Calibri" w:cs="Calibri"/>
                <w:b/>
                <w:bCs/>
                <w:snapToGrid/>
                <w:color w:val="000000"/>
                <w:sz w:val="22"/>
                <w:szCs w:val="22"/>
              </w:rPr>
              <w:t>Federal Poverty Level (FPL)</w:t>
            </w:r>
          </w:p>
        </w:tc>
        <w:tc>
          <w:tcPr>
            <w:tcW w:w="4093" w:type="dxa"/>
            <w:tcBorders>
              <w:top w:val="single" w:sz="2" w:space="0" w:color="000000"/>
              <w:left w:val="single" w:sz="2" w:space="0" w:color="000000"/>
              <w:bottom w:val="single" w:sz="2" w:space="0" w:color="000000"/>
              <w:right w:val="single" w:sz="2" w:space="0" w:color="000000"/>
            </w:tcBorders>
          </w:tcPr>
          <w:p w14:paraId="1D8F497F" w14:textId="77777777" w:rsidR="00C8463D" w:rsidRPr="00E31775" w:rsidRDefault="00D73C88" w:rsidP="00AD796C">
            <w:pPr>
              <w:widowControl/>
              <w:autoSpaceDE w:val="0"/>
              <w:autoSpaceDN w:val="0"/>
              <w:adjustRightInd w:val="0"/>
              <w:jc w:val="center"/>
              <w:rPr>
                <w:rFonts w:ascii="Calibri" w:hAnsi="Calibri" w:cs="Calibri"/>
                <w:b/>
                <w:bCs/>
                <w:snapToGrid/>
                <w:color w:val="000000"/>
                <w:sz w:val="22"/>
                <w:szCs w:val="22"/>
              </w:rPr>
            </w:pPr>
            <w:r w:rsidRPr="00E31775">
              <w:rPr>
                <w:rFonts w:ascii="Calibri" w:hAnsi="Calibri" w:cs="Calibri"/>
                <w:b/>
                <w:bCs/>
                <w:snapToGrid/>
                <w:color w:val="000000"/>
                <w:sz w:val="22"/>
                <w:szCs w:val="22"/>
              </w:rPr>
              <w:t xml:space="preserve">Maximum </w:t>
            </w:r>
            <w:r w:rsidR="00F24E4A" w:rsidRPr="00E31775">
              <w:rPr>
                <w:rFonts w:ascii="Calibri" w:hAnsi="Calibri" w:cs="Calibri"/>
                <w:b/>
                <w:bCs/>
                <w:snapToGrid/>
                <w:color w:val="000000"/>
                <w:sz w:val="22"/>
                <w:szCs w:val="22"/>
              </w:rPr>
              <w:t xml:space="preserve">Modified </w:t>
            </w:r>
            <w:r w:rsidR="008B1CAB" w:rsidRPr="00E31775">
              <w:rPr>
                <w:rFonts w:ascii="Calibri" w:hAnsi="Calibri" w:cs="Calibri"/>
                <w:b/>
                <w:bCs/>
                <w:snapToGrid/>
                <w:color w:val="000000"/>
                <w:sz w:val="22"/>
                <w:szCs w:val="22"/>
              </w:rPr>
              <w:t>Net</w:t>
            </w:r>
            <w:r w:rsidR="00F24E4A" w:rsidRPr="00E31775">
              <w:rPr>
                <w:rFonts w:ascii="Calibri" w:hAnsi="Calibri" w:cs="Calibri"/>
                <w:b/>
                <w:bCs/>
                <w:snapToGrid/>
                <w:color w:val="000000"/>
                <w:sz w:val="22"/>
                <w:szCs w:val="22"/>
              </w:rPr>
              <w:t xml:space="preserve"> Income</w:t>
            </w:r>
            <w:r w:rsidR="006C0095" w:rsidRPr="00E31775">
              <w:rPr>
                <w:rFonts w:ascii="Calibri" w:hAnsi="Calibri" w:cs="Calibri"/>
                <w:b/>
                <w:bCs/>
                <w:snapToGrid/>
                <w:color w:val="000000"/>
                <w:sz w:val="22"/>
                <w:szCs w:val="22"/>
              </w:rPr>
              <w:t xml:space="preserve"> (MIL)</w:t>
            </w:r>
          </w:p>
          <w:p w14:paraId="1D035166" w14:textId="77777777" w:rsidR="00F24E4A" w:rsidRPr="00E31775" w:rsidRDefault="00F24E4A" w:rsidP="00562972">
            <w:pPr>
              <w:widowControl/>
              <w:autoSpaceDE w:val="0"/>
              <w:autoSpaceDN w:val="0"/>
              <w:adjustRightInd w:val="0"/>
              <w:jc w:val="center"/>
              <w:rPr>
                <w:rFonts w:ascii="Calibri" w:hAnsi="Calibri" w:cs="Calibri"/>
                <w:b/>
                <w:bCs/>
                <w:snapToGrid/>
                <w:color w:val="000000"/>
                <w:sz w:val="22"/>
                <w:szCs w:val="22"/>
              </w:rPr>
            </w:pPr>
            <w:r w:rsidRPr="00E31775">
              <w:rPr>
                <w:rFonts w:ascii="Calibri" w:hAnsi="Calibri" w:cs="Calibri"/>
                <w:b/>
                <w:bCs/>
                <w:snapToGrid/>
                <w:color w:val="000000"/>
                <w:sz w:val="22"/>
                <w:szCs w:val="22"/>
              </w:rPr>
              <w:t>(</w:t>
            </w:r>
            <w:r w:rsidR="00562972" w:rsidRPr="00E31775">
              <w:rPr>
                <w:rFonts w:ascii="Calibri" w:hAnsi="Calibri" w:cs="Calibri"/>
                <w:b/>
                <w:bCs/>
                <w:snapToGrid/>
                <w:color w:val="000000"/>
                <w:sz w:val="22"/>
                <w:szCs w:val="22"/>
              </w:rPr>
              <w:t>300</w:t>
            </w:r>
            <w:r w:rsidRPr="00E31775">
              <w:rPr>
                <w:rFonts w:ascii="Calibri" w:hAnsi="Calibri" w:cs="Calibri"/>
                <w:b/>
                <w:bCs/>
                <w:snapToGrid/>
                <w:color w:val="000000"/>
                <w:sz w:val="22"/>
                <w:szCs w:val="22"/>
              </w:rPr>
              <w:t>% x FPL)</w:t>
            </w:r>
          </w:p>
        </w:tc>
      </w:tr>
      <w:tr w:rsidR="00C8463D" w:rsidRPr="00B05999" w14:paraId="3E029D78" w14:textId="77777777" w:rsidTr="00300E84">
        <w:trPr>
          <w:trHeight w:val="290"/>
        </w:trPr>
        <w:tc>
          <w:tcPr>
            <w:tcW w:w="2995" w:type="dxa"/>
            <w:tcBorders>
              <w:top w:val="single" w:sz="2" w:space="0" w:color="000000"/>
              <w:left w:val="single" w:sz="2" w:space="0" w:color="000000"/>
              <w:bottom w:val="single" w:sz="2" w:space="0" w:color="000000"/>
              <w:right w:val="single" w:sz="2" w:space="0" w:color="000000"/>
            </w:tcBorders>
          </w:tcPr>
          <w:p w14:paraId="47D5D8A7" w14:textId="77777777" w:rsidR="00C8463D" w:rsidRPr="00E31775" w:rsidRDefault="00C8463D" w:rsidP="00B05999">
            <w:pPr>
              <w:widowControl/>
              <w:autoSpaceDE w:val="0"/>
              <w:autoSpaceDN w:val="0"/>
              <w:adjustRightInd w:val="0"/>
              <w:jc w:val="center"/>
              <w:rPr>
                <w:rFonts w:ascii="Calibri" w:hAnsi="Calibri" w:cs="Verdana"/>
                <w:b/>
                <w:bCs/>
                <w:snapToGrid/>
                <w:color w:val="000000"/>
                <w:sz w:val="22"/>
                <w:szCs w:val="22"/>
              </w:rPr>
            </w:pPr>
            <w:r w:rsidRPr="00E31775">
              <w:rPr>
                <w:rFonts w:ascii="Calibri" w:hAnsi="Calibri" w:cs="Verdana"/>
                <w:b/>
                <w:bCs/>
                <w:snapToGrid/>
                <w:color w:val="000000"/>
                <w:sz w:val="22"/>
                <w:szCs w:val="22"/>
              </w:rPr>
              <w:t>1</w:t>
            </w:r>
          </w:p>
        </w:tc>
        <w:tc>
          <w:tcPr>
            <w:tcW w:w="2380" w:type="dxa"/>
            <w:tcBorders>
              <w:top w:val="single" w:sz="2" w:space="0" w:color="000000"/>
              <w:left w:val="single" w:sz="2" w:space="0" w:color="000000"/>
              <w:bottom w:val="single" w:sz="2" w:space="0" w:color="000000"/>
              <w:right w:val="single" w:sz="2" w:space="0" w:color="000000"/>
            </w:tcBorders>
          </w:tcPr>
          <w:p w14:paraId="71E55415" w14:textId="67A972CC" w:rsidR="00C8463D" w:rsidRPr="00E31775" w:rsidRDefault="00C8463D" w:rsidP="009616FB">
            <w:pPr>
              <w:widowControl/>
              <w:autoSpaceDE w:val="0"/>
              <w:autoSpaceDN w:val="0"/>
              <w:adjustRightInd w:val="0"/>
              <w:jc w:val="center"/>
              <w:rPr>
                <w:rFonts w:ascii="Calibri" w:hAnsi="Calibri" w:cs="Verdana"/>
                <w:snapToGrid/>
                <w:color w:val="000000"/>
                <w:sz w:val="22"/>
                <w:szCs w:val="22"/>
              </w:rPr>
            </w:pPr>
            <w:r w:rsidRPr="00E31775">
              <w:rPr>
                <w:rFonts w:ascii="Calibri" w:hAnsi="Calibri" w:cs="Verdana"/>
                <w:snapToGrid/>
                <w:color w:val="000000"/>
                <w:sz w:val="22"/>
                <w:szCs w:val="22"/>
              </w:rPr>
              <w:t>$</w:t>
            </w:r>
            <w:r w:rsidR="00E31775" w:rsidRPr="00E31775">
              <w:rPr>
                <w:rFonts w:ascii="Calibri" w:hAnsi="Calibri" w:cs="Verdana"/>
                <w:snapToGrid/>
                <w:color w:val="000000"/>
                <w:sz w:val="22"/>
                <w:szCs w:val="22"/>
              </w:rPr>
              <w:t>15.650</w:t>
            </w:r>
          </w:p>
        </w:tc>
        <w:tc>
          <w:tcPr>
            <w:tcW w:w="4093" w:type="dxa"/>
            <w:tcBorders>
              <w:top w:val="single" w:sz="2" w:space="0" w:color="000000"/>
              <w:left w:val="single" w:sz="2" w:space="0" w:color="000000"/>
              <w:bottom w:val="single" w:sz="2" w:space="0" w:color="000000"/>
              <w:right w:val="single" w:sz="2" w:space="0" w:color="000000"/>
            </w:tcBorders>
          </w:tcPr>
          <w:p w14:paraId="05D7AC88" w14:textId="1D1B3C7E" w:rsidR="00C8463D" w:rsidRPr="00E31775" w:rsidRDefault="00C8463D" w:rsidP="009616FB">
            <w:pPr>
              <w:widowControl/>
              <w:autoSpaceDE w:val="0"/>
              <w:autoSpaceDN w:val="0"/>
              <w:adjustRightInd w:val="0"/>
              <w:jc w:val="center"/>
              <w:rPr>
                <w:rFonts w:ascii="Calibri" w:hAnsi="Calibri" w:cs="Calibri"/>
                <w:snapToGrid/>
                <w:color w:val="000000"/>
                <w:sz w:val="22"/>
                <w:szCs w:val="22"/>
              </w:rPr>
            </w:pPr>
            <w:r w:rsidRPr="00E31775">
              <w:rPr>
                <w:rFonts w:ascii="Calibri" w:hAnsi="Calibri" w:cs="Calibri"/>
                <w:snapToGrid/>
                <w:color w:val="000000"/>
                <w:sz w:val="22"/>
                <w:szCs w:val="22"/>
              </w:rPr>
              <w:t>$</w:t>
            </w:r>
            <w:r w:rsidR="00E31775" w:rsidRPr="00E31775">
              <w:rPr>
                <w:rFonts w:ascii="Calibri" w:hAnsi="Calibri" w:cs="Calibri"/>
                <w:snapToGrid/>
                <w:color w:val="000000"/>
                <w:sz w:val="22"/>
                <w:szCs w:val="22"/>
              </w:rPr>
              <w:t>46,950</w:t>
            </w:r>
          </w:p>
        </w:tc>
      </w:tr>
      <w:tr w:rsidR="00C8463D" w:rsidRPr="00B05999" w14:paraId="5F84DB32" w14:textId="77777777" w:rsidTr="00300E84">
        <w:trPr>
          <w:trHeight w:val="290"/>
        </w:trPr>
        <w:tc>
          <w:tcPr>
            <w:tcW w:w="2995" w:type="dxa"/>
            <w:tcBorders>
              <w:top w:val="single" w:sz="2" w:space="0" w:color="000000"/>
              <w:left w:val="single" w:sz="2" w:space="0" w:color="000000"/>
              <w:bottom w:val="single" w:sz="2" w:space="0" w:color="000000"/>
              <w:right w:val="single" w:sz="2" w:space="0" w:color="000000"/>
            </w:tcBorders>
          </w:tcPr>
          <w:p w14:paraId="055FEA0D" w14:textId="77777777" w:rsidR="00C8463D" w:rsidRPr="00E31775" w:rsidRDefault="00C8463D" w:rsidP="00B05999">
            <w:pPr>
              <w:widowControl/>
              <w:autoSpaceDE w:val="0"/>
              <w:autoSpaceDN w:val="0"/>
              <w:adjustRightInd w:val="0"/>
              <w:jc w:val="center"/>
              <w:rPr>
                <w:rFonts w:ascii="Calibri" w:hAnsi="Calibri" w:cs="Verdana"/>
                <w:b/>
                <w:bCs/>
                <w:snapToGrid/>
                <w:color w:val="000000"/>
                <w:sz w:val="22"/>
                <w:szCs w:val="22"/>
              </w:rPr>
            </w:pPr>
            <w:r w:rsidRPr="00E31775">
              <w:rPr>
                <w:rFonts w:ascii="Calibri" w:hAnsi="Calibri" w:cs="Verdana"/>
                <w:b/>
                <w:bCs/>
                <w:snapToGrid/>
                <w:color w:val="000000"/>
                <w:sz w:val="22"/>
                <w:szCs w:val="22"/>
              </w:rPr>
              <w:t>2</w:t>
            </w:r>
          </w:p>
        </w:tc>
        <w:tc>
          <w:tcPr>
            <w:tcW w:w="2380" w:type="dxa"/>
            <w:tcBorders>
              <w:top w:val="single" w:sz="2" w:space="0" w:color="000000"/>
              <w:left w:val="single" w:sz="2" w:space="0" w:color="000000"/>
              <w:bottom w:val="single" w:sz="2" w:space="0" w:color="000000"/>
              <w:right w:val="single" w:sz="2" w:space="0" w:color="000000"/>
            </w:tcBorders>
          </w:tcPr>
          <w:p w14:paraId="4BA2A5F3" w14:textId="5BA653C5" w:rsidR="00C8463D" w:rsidRPr="00E31775" w:rsidRDefault="00E31775" w:rsidP="00CC3B1F">
            <w:pPr>
              <w:widowControl/>
              <w:autoSpaceDE w:val="0"/>
              <w:autoSpaceDN w:val="0"/>
              <w:adjustRightInd w:val="0"/>
              <w:jc w:val="center"/>
              <w:rPr>
                <w:rFonts w:ascii="Calibri" w:hAnsi="Calibri" w:cs="Verdana"/>
                <w:snapToGrid/>
                <w:color w:val="000000"/>
                <w:sz w:val="22"/>
                <w:szCs w:val="22"/>
              </w:rPr>
            </w:pPr>
            <w:r w:rsidRPr="00E31775">
              <w:rPr>
                <w:rFonts w:ascii="Calibri" w:hAnsi="Calibri" w:cs="Verdana"/>
                <w:snapToGrid/>
                <w:color w:val="000000"/>
                <w:sz w:val="22"/>
                <w:szCs w:val="22"/>
              </w:rPr>
              <w:t>21,150</w:t>
            </w:r>
          </w:p>
        </w:tc>
        <w:tc>
          <w:tcPr>
            <w:tcW w:w="4093" w:type="dxa"/>
            <w:tcBorders>
              <w:top w:val="single" w:sz="2" w:space="0" w:color="000000"/>
              <w:left w:val="single" w:sz="2" w:space="0" w:color="000000"/>
              <w:bottom w:val="single" w:sz="2" w:space="0" w:color="000000"/>
              <w:right w:val="single" w:sz="2" w:space="0" w:color="000000"/>
            </w:tcBorders>
          </w:tcPr>
          <w:p w14:paraId="39C54214" w14:textId="5EB73F00" w:rsidR="00C8463D" w:rsidRPr="00E31775" w:rsidRDefault="00E31775" w:rsidP="00CC3B1F">
            <w:pPr>
              <w:widowControl/>
              <w:autoSpaceDE w:val="0"/>
              <w:autoSpaceDN w:val="0"/>
              <w:adjustRightInd w:val="0"/>
              <w:jc w:val="center"/>
              <w:rPr>
                <w:rFonts w:ascii="Calibri" w:hAnsi="Calibri" w:cs="Calibri"/>
                <w:snapToGrid/>
                <w:color w:val="000000"/>
                <w:sz w:val="22"/>
                <w:szCs w:val="22"/>
              </w:rPr>
            </w:pPr>
            <w:r w:rsidRPr="00E31775">
              <w:rPr>
                <w:rFonts w:ascii="Calibri" w:hAnsi="Calibri" w:cs="Calibri"/>
                <w:snapToGrid/>
                <w:color w:val="000000"/>
                <w:sz w:val="22"/>
                <w:szCs w:val="22"/>
              </w:rPr>
              <w:t>63,450</w:t>
            </w:r>
          </w:p>
        </w:tc>
      </w:tr>
      <w:tr w:rsidR="00C8463D" w:rsidRPr="00B05999" w14:paraId="516F6097" w14:textId="77777777" w:rsidTr="00300E84">
        <w:trPr>
          <w:trHeight w:val="290"/>
        </w:trPr>
        <w:tc>
          <w:tcPr>
            <w:tcW w:w="2995" w:type="dxa"/>
            <w:tcBorders>
              <w:top w:val="single" w:sz="2" w:space="0" w:color="000000"/>
              <w:left w:val="single" w:sz="2" w:space="0" w:color="000000"/>
              <w:bottom w:val="single" w:sz="2" w:space="0" w:color="000000"/>
              <w:right w:val="single" w:sz="2" w:space="0" w:color="000000"/>
            </w:tcBorders>
          </w:tcPr>
          <w:p w14:paraId="06D9F684" w14:textId="77777777" w:rsidR="00C8463D" w:rsidRPr="00E31775" w:rsidRDefault="00C8463D" w:rsidP="00B05999">
            <w:pPr>
              <w:widowControl/>
              <w:autoSpaceDE w:val="0"/>
              <w:autoSpaceDN w:val="0"/>
              <w:adjustRightInd w:val="0"/>
              <w:jc w:val="center"/>
              <w:rPr>
                <w:rFonts w:ascii="Calibri" w:hAnsi="Calibri" w:cs="Verdana"/>
                <w:b/>
                <w:bCs/>
                <w:snapToGrid/>
                <w:color w:val="000000"/>
                <w:sz w:val="22"/>
                <w:szCs w:val="22"/>
              </w:rPr>
            </w:pPr>
            <w:r w:rsidRPr="00E31775">
              <w:rPr>
                <w:rFonts w:ascii="Calibri" w:hAnsi="Calibri" w:cs="Verdana"/>
                <w:b/>
                <w:bCs/>
                <w:snapToGrid/>
                <w:color w:val="000000"/>
                <w:sz w:val="22"/>
                <w:szCs w:val="22"/>
              </w:rPr>
              <w:t>3</w:t>
            </w:r>
          </w:p>
        </w:tc>
        <w:tc>
          <w:tcPr>
            <w:tcW w:w="2380" w:type="dxa"/>
            <w:tcBorders>
              <w:top w:val="single" w:sz="2" w:space="0" w:color="000000"/>
              <w:left w:val="single" w:sz="2" w:space="0" w:color="000000"/>
              <w:bottom w:val="single" w:sz="2" w:space="0" w:color="000000"/>
              <w:right w:val="single" w:sz="2" w:space="0" w:color="000000"/>
            </w:tcBorders>
          </w:tcPr>
          <w:p w14:paraId="72D2E843" w14:textId="5CF3A24E" w:rsidR="00C8463D" w:rsidRPr="00E31775" w:rsidRDefault="00E31775" w:rsidP="00CC3B1F">
            <w:pPr>
              <w:widowControl/>
              <w:autoSpaceDE w:val="0"/>
              <w:autoSpaceDN w:val="0"/>
              <w:adjustRightInd w:val="0"/>
              <w:jc w:val="center"/>
              <w:rPr>
                <w:rFonts w:ascii="Calibri" w:hAnsi="Calibri" w:cs="Verdana"/>
                <w:snapToGrid/>
                <w:color w:val="000000"/>
                <w:sz w:val="22"/>
                <w:szCs w:val="22"/>
              </w:rPr>
            </w:pPr>
            <w:r w:rsidRPr="00E31775">
              <w:rPr>
                <w:rFonts w:ascii="Calibri" w:hAnsi="Calibri" w:cs="Verdana"/>
                <w:snapToGrid/>
                <w:color w:val="000000"/>
                <w:sz w:val="22"/>
                <w:szCs w:val="22"/>
              </w:rPr>
              <w:t>26,650</w:t>
            </w:r>
          </w:p>
        </w:tc>
        <w:tc>
          <w:tcPr>
            <w:tcW w:w="4093" w:type="dxa"/>
            <w:tcBorders>
              <w:top w:val="single" w:sz="2" w:space="0" w:color="000000"/>
              <w:left w:val="single" w:sz="2" w:space="0" w:color="000000"/>
              <w:bottom w:val="single" w:sz="2" w:space="0" w:color="000000"/>
              <w:right w:val="single" w:sz="2" w:space="0" w:color="000000"/>
            </w:tcBorders>
          </w:tcPr>
          <w:p w14:paraId="20254907" w14:textId="65D879FD" w:rsidR="00C8463D" w:rsidRPr="00E31775" w:rsidRDefault="00E31775" w:rsidP="00CC3B1F">
            <w:pPr>
              <w:widowControl/>
              <w:autoSpaceDE w:val="0"/>
              <w:autoSpaceDN w:val="0"/>
              <w:adjustRightInd w:val="0"/>
              <w:jc w:val="center"/>
              <w:rPr>
                <w:rFonts w:ascii="Calibri" w:hAnsi="Calibri" w:cs="Calibri"/>
                <w:snapToGrid/>
                <w:color w:val="000000"/>
                <w:sz w:val="22"/>
                <w:szCs w:val="22"/>
              </w:rPr>
            </w:pPr>
            <w:r w:rsidRPr="00E31775">
              <w:rPr>
                <w:rFonts w:ascii="Calibri" w:hAnsi="Calibri" w:cs="Calibri"/>
                <w:snapToGrid/>
                <w:color w:val="000000"/>
                <w:sz w:val="22"/>
                <w:szCs w:val="22"/>
              </w:rPr>
              <w:t>79,950</w:t>
            </w:r>
          </w:p>
        </w:tc>
      </w:tr>
      <w:tr w:rsidR="00C8463D" w:rsidRPr="00B05999" w14:paraId="03464293" w14:textId="77777777" w:rsidTr="00300E84">
        <w:trPr>
          <w:trHeight w:val="290"/>
        </w:trPr>
        <w:tc>
          <w:tcPr>
            <w:tcW w:w="2995" w:type="dxa"/>
            <w:tcBorders>
              <w:top w:val="single" w:sz="2" w:space="0" w:color="000000"/>
              <w:left w:val="single" w:sz="2" w:space="0" w:color="000000"/>
              <w:bottom w:val="single" w:sz="2" w:space="0" w:color="000000"/>
              <w:right w:val="single" w:sz="2" w:space="0" w:color="000000"/>
            </w:tcBorders>
          </w:tcPr>
          <w:p w14:paraId="38D972E6" w14:textId="77777777" w:rsidR="00C8463D" w:rsidRPr="00E31775" w:rsidRDefault="00C8463D" w:rsidP="00B05999">
            <w:pPr>
              <w:widowControl/>
              <w:autoSpaceDE w:val="0"/>
              <w:autoSpaceDN w:val="0"/>
              <w:adjustRightInd w:val="0"/>
              <w:jc w:val="center"/>
              <w:rPr>
                <w:rFonts w:ascii="Calibri" w:hAnsi="Calibri" w:cs="Verdana"/>
                <w:b/>
                <w:bCs/>
                <w:snapToGrid/>
                <w:color w:val="000000"/>
                <w:sz w:val="22"/>
                <w:szCs w:val="22"/>
              </w:rPr>
            </w:pPr>
            <w:r w:rsidRPr="00E31775">
              <w:rPr>
                <w:rFonts w:ascii="Calibri" w:hAnsi="Calibri" w:cs="Verdana"/>
                <w:b/>
                <w:bCs/>
                <w:snapToGrid/>
                <w:color w:val="000000"/>
                <w:sz w:val="22"/>
                <w:szCs w:val="22"/>
              </w:rPr>
              <w:t>4</w:t>
            </w:r>
          </w:p>
        </w:tc>
        <w:tc>
          <w:tcPr>
            <w:tcW w:w="2380" w:type="dxa"/>
            <w:tcBorders>
              <w:top w:val="single" w:sz="2" w:space="0" w:color="000000"/>
              <w:left w:val="single" w:sz="2" w:space="0" w:color="000000"/>
              <w:bottom w:val="single" w:sz="2" w:space="0" w:color="000000"/>
              <w:right w:val="single" w:sz="2" w:space="0" w:color="000000"/>
            </w:tcBorders>
          </w:tcPr>
          <w:p w14:paraId="0919A691" w14:textId="68DCA383" w:rsidR="00C8463D" w:rsidRPr="00E31775" w:rsidRDefault="00E31775" w:rsidP="00CC3B1F">
            <w:pPr>
              <w:widowControl/>
              <w:autoSpaceDE w:val="0"/>
              <w:autoSpaceDN w:val="0"/>
              <w:adjustRightInd w:val="0"/>
              <w:jc w:val="center"/>
              <w:rPr>
                <w:rFonts w:ascii="Calibri" w:hAnsi="Calibri" w:cs="Verdana"/>
                <w:snapToGrid/>
                <w:color w:val="000000"/>
                <w:sz w:val="22"/>
                <w:szCs w:val="22"/>
              </w:rPr>
            </w:pPr>
            <w:r w:rsidRPr="00E31775">
              <w:rPr>
                <w:rFonts w:ascii="Calibri" w:hAnsi="Calibri" w:cs="Verdana"/>
                <w:snapToGrid/>
                <w:color w:val="000000"/>
                <w:sz w:val="22"/>
                <w:szCs w:val="22"/>
              </w:rPr>
              <w:t>32,150</w:t>
            </w:r>
          </w:p>
        </w:tc>
        <w:tc>
          <w:tcPr>
            <w:tcW w:w="4093" w:type="dxa"/>
            <w:tcBorders>
              <w:top w:val="single" w:sz="2" w:space="0" w:color="000000"/>
              <w:left w:val="single" w:sz="2" w:space="0" w:color="000000"/>
              <w:bottom w:val="single" w:sz="2" w:space="0" w:color="000000"/>
              <w:right w:val="single" w:sz="2" w:space="0" w:color="000000"/>
            </w:tcBorders>
          </w:tcPr>
          <w:p w14:paraId="3817C751" w14:textId="39809CFB" w:rsidR="00C8463D" w:rsidRPr="00E31775" w:rsidRDefault="00E31775" w:rsidP="00BA586A">
            <w:pPr>
              <w:widowControl/>
              <w:autoSpaceDE w:val="0"/>
              <w:autoSpaceDN w:val="0"/>
              <w:adjustRightInd w:val="0"/>
              <w:jc w:val="center"/>
              <w:rPr>
                <w:rFonts w:ascii="Calibri" w:hAnsi="Calibri" w:cs="Calibri"/>
                <w:snapToGrid/>
                <w:color w:val="000000"/>
                <w:sz w:val="22"/>
                <w:szCs w:val="22"/>
              </w:rPr>
            </w:pPr>
            <w:r w:rsidRPr="00E31775">
              <w:rPr>
                <w:rFonts w:ascii="Calibri" w:hAnsi="Calibri" w:cs="Calibri"/>
                <w:snapToGrid/>
                <w:color w:val="000000"/>
                <w:sz w:val="22"/>
                <w:szCs w:val="22"/>
              </w:rPr>
              <w:t>96,450</w:t>
            </w:r>
          </w:p>
        </w:tc>
      </w:tr>
      <w:tr w:rsidR="00C8463D" w:rsidRPr="00B05999" w14:paraId="29FB3278" w14:textId="77777777" w:rsidTr="00300E84">
        <w:trPr>
          <w:trHeight w:val="290"/>
        </w:trPr>
        <w:tc>
          <w:tcPr>
            <w:tcW w:w="2995" w:type="dxa"/>
            <w:tcBorders>
              <w:top w:val="single" w:sz="2" w:space="0" w:color="000000"/>
              <w:left w:val="single" w:sz="2" w:space="0" w:color="000000"/>
              <w:bottom w:val="single" w:sz="2" w:space="0" w:color="000000"/>
              <w:right w:val="single" w:sz="2" w:space="0" w:color="000000"/>
            </w:tcBorders>
          </w:tcPr>
          <w:p w14:paraId="3974B434" w14:textId="77777777" w:rsidR="00C8463D" w:rsidRPr="00E31775" w:rsidRDefault="00C8463D" w:rsidP="00B05999">
            <w:pPr>
              <w:widowControl/>
              <w:autoSpaceDE w:val="0"/>
              <w:autoSpaceDN w:val="0"/>
              <w:adjustRightInd w:val="0"/>
              <w:jc w:val="center"/>
              <w:rPr>
                <w:rFonts w:ascii="Calibri" w:hAnsi="Calibri" w:cs="Verdana"/>
                <w:b/>
                <w:bCs/>
                <w:snapToGrid/>
                <w:color w:val="000000"/>
                <w:sz w:val="22"/>
                <w:szCs w:val="22"/>
              </w:rPr>
            </w:pPr>
            <w:r w:rsidRPr="00E31775">
              <w:rPr>
                <w:rFonts w:ascii="Calibri" w:hAnsi="Calibri" w:cs="Verdana"/>
                <w:b/>
                <w:bCs/>
                <w:snapToGrid/>
                <w:color w:val="000000"/>
                <w:sz w:val="22"/>
                <w:szCs w:val="22"/>
              </w:rPr>
              <w:t>5</w:t>
            </w:r>
          </w:p>
        </w:tc>
        <w:tc>
          <w:tcPr>
            <w:tcW w:w="2380" w:type="dxa"/>
            <w:tcBorders>
              <w:top w:val="single" w:sz="2" w:space="0" w:color="000000"/>
              <w:left w:val="single" w:sz="2" w:space="0" w:color="000000"/>
              <w:bottom w:val="single" w:sz="2" w:space="0" w:color="000000"/>
              <w:right w:val="single" w:sz="2" w:space="0" w:color="000000"/>
            </w:tcBorders>
          </w:tcPr>
          <w:p w14:paraId="4D320E93" w14:textId="6D9C36F5" w:rsidR="00C8463D" w:rsidRPr="00E31775" w:rsidRDefault="00E31775" w:rsidP="00075478">
            <w:pPr>
              <w:widowControl/>
              <w:autoSpaceDE w:val="0"/>
              <w:autoSpaceDN w:val="0"/>
              <w:adjustRightInd w:val="0"/>
              <w:jc w:val="center"/>
              <w:rPr>
                <w:rFonts w:ascii="Calibri" w:hAnsi="Calibri" w:cs="Verdana"/>
                <w:snapToGrid/>
                <w:color w:val="000000"/>
                <w:sz w:val="22"/>
                <w:szCs w:val="22"/>
              </w:rPr>
            </w:pPr>
            <w:r w:rsidRPr="00E31775">
              <w:rPr>
                <w:rFonts w:ascii="Calibri" w:hAnsi="Calibri" w:cs="Verdana"/>
                <w:snapToGrid/>
                <w:color w:val="000000"/>
                <w:sz w:val="22"/>
                <w:szCs w:val="22"/>
              </w:rPr>
              <w:t>37,650</w:t>
            </w:r>
          </w:p>
        </w:tc>
        <w:tc>
          <w:tcPr>
            <w:tcW w:w="4093" w:type="dxa"/>
            <w:tcBorders>
              <w:top w:val="single" w:sz="2" w:space="0" w:color="000000"/>
              <w:left w:val="single" w:sz="2" w:space="0" w:color="000000"/>
              <w:bottom w:val="single" w:sz="2" w:space="0" w:color="000000"/>
              <w:right w:val="single" w:sz="2" w:space="0" w:color="000000"/>
            </w:tcBorders>
          </w:tcPr>
          <w:p w14:paraId="14660C86" w14:textId="672810F4" w:rsidR="00C8463D" w:rsidRPr="00E31775" w:rsidRDefault="00E31775" w:rsidP="00E47AED">
            <w:pPr>
              <w:widowControl/>
              <w:autoSpaceDE w:val="0"/>
              <w:autoSpaceDN w:val="0"/>
              <w:adjustRightInd w:val="0"/>
              <w:jc w:val="center"/>
              <w:rPr>
                <w:rFonts w:ascii="Calibri" w:hAnsi="Calibri" w:cs="Calibri"/>
                <w:snapToGrid/>
                <w:color w:val="000000"/>
                <w:sz w:val="22"/>
                <w:szCs w:val="22"/>
              </w:rPr>
            </w:pPr>
            <w:r w:rsidRPr="00E31775">
              <w:rPr>
                <w:rFonts w:ascii="Calibri" w:hAnsi="Calibri" w:cs="Calibri"/>
                <w:snapToGrid/>
                <w:color w:val="000000"/>
                <w:sz w:val="22"/>
                <w:szCs w:val="22"/>
              </w:rPr>
              <w:t>112,950</w:t>
            </w:r>
          </w:p>
        </w:tc>
      </w:tr>
      <w:tr w:rsidR="00C8463D" w:rsidRPr="00B05999" w14:paraId="3CE99AD5" w14:textId="77777777" w:rsidTr="00300E84">
        <w:trPr>
          <w:trHeight w:val="290"/>
        </w:trPr>
        <w:tc>
          <w:tcPr>
            <w:tcW w:w="2995" w:type="dxa"/>
            <w:tcBorders>
              <w:top w:val="single" w:sz="2" w:space="0" w:color="000000"/>
              <w:left w:val="single" w:sz="2" w:space="0" w:color="000000"/>
              <w:bottom w:val="single" w:sz="2" w:space="0" w:color="000000"/>
              <w:right w:val="single" w:sz="2" w:space="0" w:color="000000"/>
            </w:tcBorders>
          </w:tcPr>
          <w:p w14:paraId="24CBEB81" w14:textId="77777777" w:rsidR="00C8463D" w:rsidRPr="00E31775" w:rsidRDefault="00C8463D" w:rsidP="00B05999">
            <w:pPr>
              <w:widowControl/>
              <w:autoSpaceDE w:val="0"/>
              <w:autoSpaceDN w:val="0"/>
              <w:adjustRightInd w:val="0"/>
              <w:jc w:val="center"/>
              <w:rPr>
                <w:rFonts w:ascii="Calibri" w:hAnsi="Calibri" w:cs="Verdana"/>
                <w:b/>
                <w:bCs/>
                <w:snapToGrid/>
                <w:color w:val="000000"/>
                <w:sz w:val="22"/>
                <w:szCs w:val="22"/>
              </w:rPr>
            </w:pPr>
            <w:r w:rsidRPr="00E31775">
              <w:rPr>
                <w:rFonts w:ascii="Calibri" w:hAnsi="Calibri" w:cs="Verdana"/>
                <w:b/>
                <w:bCs/>
                <w:snapToGrid/>
                <w:color w:val="000000"/>
                <w:sz w:val="22"/>
                <w:szCs w:val="22"/>
              </w:rPr>
              <w:t>6</w:t>
            </w:r>
          </w:p>
        </w:tc>
        <w:tc>
          <w:tcPr>
            <w:tcW w:w="2380" w:type="dxa"/>
            <w:tcBorders>
              <w:top w:val="single" w:sz="2" w:space="0" w:color="000000"/>
              <w:left w:val="single" w:sz="2" w:space="0" w:color="000000"/>
              <w:bottom w:val="single" w:sz="2" w:space="0" w:color="000000"/>
              <w:right w:val="single" w:sz="2" w:space="0" w:color="000000"/>
            </w:tcBorders>
          </w:tcPr>
          <w:p w14:paraId="3E167966" w14:textId="30DF109A" w:rsidR="00C8463D" w:rsidRPr="00E31775" w:rsidRDefault="00E31775" w:rsidP="00CC3B1F">
            <w:pPr>
              <w:widowControl/>
              <w:autoSpaceDE w:val="0"/>
              <w:autoSpaceDN w:val="0"/>
              <w:adjustRightInd w:val="0"/>
              <w:jc w:val="center"/>
              <w:rPr>
                <w:rFonts w:ascii="Calibri" w:hAnsi="Calibri" w:cs="Verdana"/>
                <w:snapToGrid/>
                <w:color w:val="000000"/>
                <w:sz w:val="22"/>
                <w:szCs w:val="22"/>
              </w:rPr>
            </w:pPr>
            <w:r w:rsidRPr="00E31775">
              <w:rPr>
                <w:rFonts w:ascii="Calibri" w:hAnsi="Calibri" w:cs="Verdana"/>
                <w:snapToGrid/>
                <w:color w:val="000000"/>
                <w:sz w:val="22"/>
                <w:szCs w:val="22"/>
              </w:rPr>
              <w:t>43,150</w:t>
            </w:r>
          </w:p>
        </w:tc>
        <w:tc>
          <w:tcPr>
            <w:tcW w:w="4093" w:type="dxa"/>
            <w:tcBorders>
              <w:top w:val="single" w:sz="2" w:space="0" w:color="000000"/>
              <w:left w:val="single" w:sz="2" w:space="0" w:color="000000"/>
              <w:bottom w:val="single" w:sz="2" w:space="0" w:color="000000"/>
              <w:right w:val="single" w:sz="2" w:space="0" w:color="000000"/>
            </w:tcBorders>
          </w:tcPr>
          <w:p w14:paraId="7F3C071B" w14:textId="21BA2D3F" w:rsidR="00C8463D" w:rsidRPr="00E31775" w:rsidRDefault="00E31775" w:rsidP="00BA586A">
            <w:pPr>
              <w:widowControl/>
              <w:autoSpaceDE w:val="0"/>
              <w:autoSpaceDN w:val="0"/>
              <w:adjustRightInd w:val="0"/>
              <w:jc w:val="center"/>
              <w:rPr>
                <w:rFonts w:ascii="Calibri" w:hAnsi="Calibri" w:cs="Calibri"/>
                <w:snapToGrid/>
                <w:color w:val="000000"/>
                <w:sz w:val="22"/>
                <w:szCs w:val="22"/>
              </w:rPr>
            </w:pPr>
            <w:r w:rsidRPr="00E31775">
              <w:rPr>
                <w:rFonts w:ascii="Calibri" w:hAnsi="Calibri" w:cs="Calibri"/>
                <w:snapToGrid/>
                <w:color w:val="000000"/>
                <w:sz w:val="22"/>
                <w:szCs w:val="22"/>
              </w:rPr>
              <w:t>129,450</w:t>
            </w:r>
          </w:p>
        </w:tc>
      </w:tr>
      <w:tr w:rsidR="00C8463D" w:rsidRPr="00B05999" w14:paraId="594E555F" w14:textId="77777777" w:rsidTr="00300E84">
        <w:trPr>
          <w:trHeight w:val="290"/>
        </w:trPr>
        <w:tc>
          <w:tcPr>
            <w:tcW w:w="2995" w:type="dxa"/>
            <w:tcBorders>
              <w:top w:val="single" w:sz="2" w:space="0" w:color="000000"/>
              <w:left w:val="single" w:sz="2" w:space="0" w:color="000000"/>
              <w:bottom w:val="single" w:sz="2" w:space="0" w:color="000000"/>
              <w:right w:val="single" w:sz="2" w:space="0" w:color="000000"/>
            </w:tcBorders>
          </w:tcPr>
          <w:p w14:paraId="68E5B950" w14:textId="77777777" w:rsidR="00C8463D" w:rsidRPr="00E31775" w:rsidRDefault="00C8463D" w:rsidP="00B05999">
            <w:pPr>
              <w:widowControl/>
              <w:autoSpaceDE w:val="0"/>
              <w:autoSpaceDN w:val="0"/>
              <w:adjustRightInd w:val="0"/>
              <w:jc w:val="center"/>
              <w:rPr>
                <w:rFonts w:ascii="Calibri" w:hAnsi="Calibri" w:cs="Verdana"/>
                <w:b/>
                <w:bCs/>
                <w:snapToGrid/>
                <w:color w:val="000000"/>
                <w:sz w:val="22"/>
                <w:szCs w:val="22"/>
              </w:rPr>
            </w:pPr>
            <w:r w:rsidRPr="00E31775">
              <w:rPr>
                <w:rFonts w:ascii="Calibri" w:hAnsi="Calibri" w:cs="Verdana"/>
                <w:b/>
                <w:bCs/>
                <w:snapToGrid/>
                <w:color w:val="000000"/>
                <w:sz w:val="22"/>
                <w:szCs w:val="22"/>
              </w:rPr>
              <w:t>7</w:t>
            </w:r>
          </w:p>
        </w:tc>
        <w:tc>
          <w:tcPr>
            <w:tcW w:w="2380" w:type="dxa"/>
            <w:tcBorders>
              <w:top w:val="single" w:sz="2" w:space="0" w:color="000000"/>
              <w:left w:val="single" w:sz="2" w:space="0" w:color="000000"/>
              <w:bottom w:val="single" w:sz="2" w:space="0" w:color="000000"/>
              <w:right w:val="single" w:sz="2" w:space="0" w:color="000000"/>
            </w:tcBorders>
          </w:tcPr>
          <w:p w14:paraId="50032D65" w14:textId="2EE12647" w:rsidR="00C8463D" w:rsidRPr="00E31775" w:rsidRDefault="00E31775" w:rsidP="00075478">
            <w:pPr>
              <w:widowControl/>
              <w:autoSpaceDE w:val="0"/>
              <w:autoSpaceDN w:val="0"/>
              <w:adjustRightInd w:val="0"/>
              <w:jc w:val="center"/>
              <w:rPr>
                <w:rFonts w:ascii="Calibri" w:hAnsi="Calibri" w:cs="Verdana"/>
                <w:snapToGrid/>
                <w:color w:val="000000"/>
                <w:sz w:val="22"/>
                <w:szCs w:val="22"/>
              </w:rPr>
            </w:pPr>
            <w:r w:rsidRPr="00E31775">
              <w:rPr>
                <w:rFonts w:ascii="Calibri" w:hAnsi="Calibri" w:cs="Verdana"/>
                <w:snapToGrid/>
                <w:color w:val="000000"/>
                <w:sz w:val="22"/>
                <w:szCs w:val="22"/>
              </w:rPr>
              <w:t>48,650</w:t>
            </w:r>
          </w:p>
        </w:tc>
        <w:tc>
          <w:tcPr>
            <w:tcW w:w="4093" w:type="dxa"/>
            <w:tcBorders>
              <w:top w:val="single" w:sz="2" w:space="0" w:color="000000"/>
              <w:left w:val="single" w:sz="2" w:space="0" w:color="000000"/>
              <w:bottom w:val="single" w:sz="2" w:space="0" w:color="000000"/>
              <w:right w:val="single" w:sz="2" w:space="0" w:color="000000"/>
            </w:tcBorders>
          </w:tcPr>
          <w:p w14:paraId="24F154C8" w14:textId="7E3333F3" w:rsidR="00C8463D" w:rsidRPr="00E31775" w:rsidRDefault="00E31775" w:rsidP="0058155E">
            <w:pPr>
              <w:widowControl/>
              <w:autoSpaceDE w:val="0"/>
              <w:autoSpaceDN w:val="0"/>
              <w:adjustRightInd w:val="0"/>
              <w:jc w:val="center"/>
              <w:rPr>
                <w:rFonts w:ascii="Calibri" w:hAnsi="Calibri" w:cs="Calibri"/>
                <w:snapToGrid/>
                <w:color w:val="000000"/>
                <w:sz w:val="22"/>
                <w:szCs w:val="22"/>
              </w:rPr>
            </w:pPr>
            <w:r w:rsidRPr="00E31775">
              <w:rPr>
                <w:rFonts w:ascii="Calibri" w:hAnsi="Calibri" w:cs="Calibri"/>
                <w:snapToGrid/>
                <w:color w:val="000000"/>
                <w:sz w:val="22"/>
                <w:szCs w:val="22"/>
              </w:rPr>
              <w:t>145,950</w:t>
            </w:r>
          </w:p>
        </w:tc>
      </w:tr>
      <w:tr w:rsidR="00C8463D" w:rsidRPr="00B05999" w14:paraId="220966D9" w14:textId="77777777" w:rsidTr="00300E84">
        <w:trPr>
          <w:trHeight w:val="290"/>
        </w:trPr>
        <w:tc>
          <w:tcPr>
            <w:tcW w:w="2995" w:type="dxa"/>
            <w:tcBorders>
              <w:top w:val="single" w:sz="2" w:space="0" w:color="000000"/>
              <w:left w:val="single" w:sz="2" w:space="0" w:color="000000"/>
              <w:bottom w:val="single" w:sz="2" w:space="0" w:color="000000"/>
              <w:right w:val="single" w:sz="2" w:space="0" w:color="000000"/>
            </w:tcBorders>
          </w:tcPr>
          <w:p w14:paraId="2D2DF9C0" w14:textId="77777777" w:rsidR="00C8463D" w:rsidRPr="00E31775" w:rsidRDefault="00C8463D" w:rsidP="00B05999">
            <w:pPr>
              <w:widowControl/>
              <w:autoSpaceDE w:val="0"/>
              <w:autoSpaceDN w:val="0"/>
              <w:adjustRightInd w:val="0"/>
              <w:jc w:val="center"/>
              <w:rPr>
                <w:rFonts w:ascii="Calibri" w:hAnsi="Calibri" w:cs="Verdana"/>
                <w:b/>
                <w:bCs/>
                <w:snapToGrid/>
                <w:color w:val="000000"/>
                <w:sz w:val="22"/>
                <w:szCs w:val="22"/>
              </w:rPr>
            </w:pPr>
            <w:r w:rsidRPr="00E31775">
              <w:rPr>
                <w:rFonts w:ascii="Calibri" w:hAnsi="Calibri" w:cs="Verdana"/>
                <w:b/>
                <w:bCs/>
                <w:snapToGrid/>
                <w:color w:val="000000"/>
                <w:sz w:val="22"/>
                <w:szCs w:val="22"/>
              </w:rPr>
              <w:t>8</w:t>
            </w:r>
          </w:p>
        </w:tc>
        <w:tc>
          <w:tcPr>
            <w:tcW w:w="2380" w:type="dxa"/>
            <w:tcBorders>
              <w:top w:val="single" w:sz="2" w:space="0" w:color="000000"/>
              <w:left w:val="single" w:sz="2" w:space="0" w:color="000000"/>
              <w:bottom w:val="single" w:sz="2" w:space="0" w:color="000000"/>
              <w:right w:val="single" w:sz="2" w:space="0" w:color="000000"/>
            </w:tcBorders>
          </w:tcPr>
          <w:p w14:paraId="57D3053A" w14:textId="4316A63F" w:rsidR="00C8463D" w:rsidRPr="00E31775" w:rsidRDefault="00E31775" w:rsidP="00CC3B1F">
            <w:pPr>
              <w:widowControl/>
              <w:autoSpaceDE w:val="0"/>
              <w:autoSpaceDN w:val="0"/>
              <w:adjustRightInd w:val="0"/>
              <w:jc w:val="center"/>
              <w:rPr>
                <w:rFonts w:ascii="Calibri" w:hAnsi="Calibri" w:cs="Verdana"/>
                <w:snapToGrid/>
                <w:color w:val="000000"/>
                <w:sz w:val="22"/>
                <w:szCs w:val="22"/>
              </w:rPr>
            </w:pPr>
            <w:r w:rsidRPr="00E31775">
              <w:rPr>
                <w:rFonts w:ascii="Calibri" w:hAnsi="Calibri" w:cs="Verdana"/>
                <w:snapToGrid/>
                <w:color w:val="000000"/>
                <w:sz w:val="22"/>
                <w:szCs w:val="22"/>
              </w:rPr>
              <w:t>54,150</w:t>
            </w:r>
          </w:p>
        </w:tc>
        <w:tc>
          <w:tcPr>
            <w:tcW w:w="4093" w:type="dxa"/>
            <w:tcBorders>
              <w:top w:val="single" w:sz="2" w:space="0" w:color="000000"/>
              <w:left w:val="single" w:sz="2" w:space="0" w:color="000000"/>
              <w:bottom w:val="single" w:sz="2" w:space="0" w:color="000000"/>
              <w:right w:val="single" w:sz="2" w:space="0" w:color="000000"/>
            </w:tcBorders>
            <w:vAlign w:val="center"/>
          </w:tcPr>
          <w:p w14:paraId="557C710A" w14:textId="01A44DF6" w:rsidR="00C8463D" w:rsidRPr="00E31775" w:rsidRDefault="00E31775" w:rsidP="00300E84">
            <w:pPr>
              <w:jc w:val="center"/>
              <w:rPr>
                <w:rFonts w:asciiTheme="minorHAnsi" w:hAnsiTheme="minorHAnsi"/>
                <w:sz w:val="22"/>
                <w:szCs w:val="22"/>
              </w:rPr>
            </w:pPr>
            <w:r w:rsidRPr="00E31775">
              <w:rPr>
                <w:rFonts w:asciiTheme="minorHAnsi" w:hAnsiTheme="minorHAnsi"/>
                <w:snapToGrid/>
                <w:sz w:val="22"/>
                <w:szCs w:val="22"/>
              </w:rPr>
              <w:t>162,450</w:t>
            </w:r>
          </w:p>
        </w:tc>
      </w:tr>
      <w:tr w:rsidR="00C8463D" w:rsidRPr="00B05999" w14:paraId="78846854" w14:textId="77777777" w:rsidTr="008A1D2F">
        <w:trPr>
          <w:trHeight w:val="616"/>
        </w:trPr>
        <w:tc>
          <w:tcPr>
            <w:tcW w:w="9468" w:type="dxa"/>
            <w:gridSpan w:val="3"/>
            <w:tcBorders>
              <w:top w:val="single" w:sz="2" w:space="0" w:color="000000"/>
              <w:left w:val="single" w:sz="2" w:space="0" w:color="000000"/>
              <w:bottom w:val="single" w:sz="2" w:space="0" w:color="000000"/>
              <w:right w:val="single" w:sz="2" w:space="0" w:color="000000"/>
            </w:tcBorders>
          </w:tcPr>
          <w:p w14:paraId="5DBB60FB" w14:textId="5838343A" w:rsidR="00C8463D" w:rsidRPr="00E31775" w:rsidRDefault="00300E84" w:rsidP="009616FB">
            <w:pPr>
              <w:rPr>
                <w:rFonts w:ascii="Calibri" w:hAnsi="Calibri" w:cs="Calibri"/>
                <w:snapToGrid/>
                <w:color w:val="000000"/>
                <w:sz w:val="22"/>
                <w:szCs w:val="22"/>
              </w:rPr>
            </w:pPr>
            <w:r w:rsidRPr="00E31775">
              <w:rPr>
                <w:rFonts w:ascii="Calibri" w:hAnsi="Calibri"/>
                <w:sz w:val="22"/>
                <w:szCs w:val="22"/>
              </w:rPr>
              <w:t xml:space="preserve">For families/households with more than 8 </w:t>
            </w:r>
            <w:proofErr w:type="gramStart"/>
            <w:r w:rsidRPr="00E31775">
              <w:rPr>
                <w:rFonts w:ascii="Calibri" w:hAnsi="Calibri"/>
                <w:sz w:val="22"/>
                <w:szCs w:val="22"/>
              </w:rPr>
              <w:t>persons</w:t>
            </w:r>
            <w:proofErr w:type="gramEnd"/>
            <w:r w:rsidRPr="00E31775">
              <w:rPr>
                <w:rFonts w:ascii="Calibri" w:hAnsi="Calibri"/>
                <w:sz w:val="22"/>
                <w:szCs w:val="22"/>
              </w:rPr>
              <w:t>, add $</w:t>
            </w:r>
            <w:r w:rsidR="009616FB" w:rsidRPr="00E31775">
              <w:rPr>
                <w:rFonts w:ascii="Calibri" w:hAnsi="Calibri"/>
                <w:sz w:val="22"/>
                <w:szCs w:val="22"/>
              </w:rPr>
              <w:t>5,</w:t>
            </w:r>
            <w:r w:rsidR="00E31775" w:rsidRPr="00E31775">
              <w:rPr>
                <w:rFonts w:ascii="Calibri" w:hAnsi="Calibri"/>
                <w:sz w:val="22"/>
                <w:szCs w:val="22"/>
              </w:rPr>
              <w:t>500</w:t>
            </w:r>
            <w:r w:rsidRPr="00E31775">
              <w:rPr>
                <w:rFonts w:ascii="Calibri" w:hAnsi="Calibri"/>
                <w:sz w:val="22"/>
                <w:szCs w:val="22"/>
              </w:rPr>
              <w:t xml:space="preserve"> (x </w:t>
            </w:r>
            <w:r w:rsidR="00562972" w:rsidRPr="00E31775">
              <w:rPr>
                <w:rFonts w:ascii="Calibri" w:hAnsi="Calibri"/>
                <w:sz w:val="22"/>
                <w:szCs w:val="22"/>
              </w:rPr>
              <w:t>300</w:t>
            </w:r>
            <w:r w:rsidRPr="00E31775">
              <w:rPr>
                <w:rFonts w:ascii="Calibri" w:hAnsi="Calibri"/>
                <w:sz w:val="22"/>
                <w:szCs w:val="22"/>
              </w:rPr>
              <w:t>% = $</w:t>
            </w:r>
            <w:r w:rsidR="009616FB" w:rsidRPr="00E31775">
              <w:rPr>
                <w:rFonts w:ascii="Calibri" w:hAnsi="Calibri"/>
                <w:sz w:val="22"/>
                <w:szCs w:val="22"/>
              </w:rPr>
              <w:t>16,</w:t>
            </w:r>
            <w:r w:rsidR="00E31775" w:rsidRPr="00E31775">
              <w:rPr>
                <w:rFonts w:ascii="Calibri" w:hAnsi="Calibri"/>
                <w:sz w:val="22"/>
                <w:szCs w:val="22"/>
              </w:rPr>
              <w:t>500</w:t>
            </w:r>
            <w:r w:rsidRPr="00E31775">
              <w:rPr>
                <w:rFonts w:ascii="Calibri" w:hAnsi="Calibri"/>
                <w:sz w:val="22"/>
                <w:szCs w:val="22"/>
              </w:rPr>
              <w:t>) for each additional person.</w:t>
            </w:r>
          </w:p>
        </w:tc>
      </w:tr>
    </w:tbl>
    <w:p w14:paraId="0AA354FB" w14:textId="77777777" w:rsidR="00300E84" w:rsidRDefault="00300E84" w:rsidP="00300E84">
      <w:pPr>
        <w:rPr>
          <w:rFonts w:ascii="Calibri" w:hAnsi="Calibri"/>
          <w:sz w:val="22"/>
          <w:szCs w:val="22"/>
        </w:rPr>
      </w:pPr>
    </w:p>
    <w:p w14:paraId="36FFDB67" w14:textId="6A18A793" w:rsidR="00300E84" w:rsidRPr="00300E84" w:rsidRDefault="00300E84" w:rsidP="00300E84">
      <w:pPr>
        <w:rPr>
          <w:rFonts w:ascii="Times New Roman" w:hAnsi="Times New Roman"/>
          <w:szCs w:val="24"/>
        </w:rPr>
      </w:pPr>
      <w:r w:rsidRPr="00300E84">
        <w:rPr>
          <w:rFonts w:ascii="Times New Roman" w:hAnsi="Times New Roman"/>
          <w:szCs w:val="24"/>
        </w:rPr>
        <w:t>A financially eligible client pursuant to IOLTA guidelines is currently limited to (</w:t>
      </w:r>
      <w:proofErr w:type="spellStart"/>
      <w:r w:rsidRPr="00300E84">
        <w:rPr>
          <w:rFonts w:ascii="Times New Roman" w:hAnsi="Times New Roman"/>
          <w:szCs w:val="24"/>
        </w:rPr>
        <w:t>i</w:t>
      </w:r>
      <w:proofErr w:type="spellEnd"/>
      <w:r w:rsidRPr="00300E84">
        <w:rPr>
          <w:rFonts w:ascii="Times New Roman" w:hAnsi="Times New Roman"/>
          <w:szCs w:val="24"/>
        </w:rPr>
        <w:t xml:space="preserve">) modified net income level (MIL) not to exceed </w:t>
      </w:r>
      <w:r w:rsidR="00562972">
        <w:rPr>
          <w:rFonts w:ascii="Times New Roman" w:hAnsi="Times New Roman"/>
          <w:szCs w:val="24"/>
        </w:rPr>
        <w:t>300</w:t>
      </w:r>
      <w:r w:rsidRPr="00300E84">
        <w:rPr>
          <w:rFonts w:ascii="Times New Roman" w:hAnsi="Times New Roman"/>
          <w:szCs w:val="24"/>
        </w:rPr>
        <w:t xml:space="preserve">% of the most recent United States Department of Health and Human Services (HHS) poverty guidelines for the </w:t>
      </w:r>
      <w:proofErr w:type="gramStart"/>
      <w:r w:rsidRPr="00300E84">
        <w:rPr>
          <w:rFonts w:ascii="Times New Roman" w:hAnsi="Times New Roman"/>
          <w:szCs w:val="24"/>
        </w:rPr>
        <w:t>particular family</w:t>
      </w:r>
      <w:proofErr w:type="gramEnd"/>
      <w:r w:rsidRPr="00300E84">
        <w:rPr>
          <w:rFonts w:ascii="Times New Roman" w:hAnsi="Times New Roman"/>
          <w:szCs w:val="24"/>
        </w:rPr>
        <w:t xml:space="preserve"> size of the client household. Modified net income level (MIL) is defined as the client’s annual gross household income, less taxes and essential regular and emergent expenditures, (food, clothing, shelter and medical care, etc.) and adjusted for other special circumstances such as seasonal variations and prospective changes in income, and (ii) situations where the clients do not have available liquid assets to pay for an attorney, as defined in written policies promulgated by the grantee’s board of trustees.  Each grantee shall </w:t>
      </w:r>
      <w:proofErr w:type="gramStart"/>
      <w:r w:rsidRPr="00300E84">
        <w:rPr>
          <w:rFonts w:ascii="Times New Roman" w:hAnsi="Times New Roman"/>
          <w:szCs w:val="24"/>
        </w:rPr>
        <w:t>take into account</w:t>
      </w:r>
      <w:proofErr w:type="gramEnd"/>
      <w:r w:rsidRPr="00300E84">
        <w:rPr>
          <w:rFonts w:ascii="Times New Roman" w:hAnsi="Times New Roman"/>
          <w:szCs w:val="24"/>
        </w:rPr>
        <w:t xml:space="preserve"> an applicant’s available assets and liabilities other than income, including all special circumstances, seasonal variations and prospective changes, before making a final determination as to eligibility.  Special circumstances may be used to reduce or increase income before applying the </w:t>
      </w:r>
      <w:r w:rsidR="00562972">
        <w:rPr>
          <w:rFonts w:ascii="Times New Roman" w:hAnsi="Times New Roman"/>
          <w:szCs w:val="24"/>
        </w:rPr>
        <w:t>300</w:t>
      </w:r>
      <w:r w:rsidRPr="00300E84">
        <w:rPr>
          <w:rFonts w:ascii="Times New Roman" w:hAnsi="Times New Roman"/>
          <w:szCs w:val="24"/>
        </w:rPr>
        <w:t>% MIL income standard.</w:t>
      </w:r>
      <w:r w:rsidR="00FE2AD5">
        <w:rPr>
          <w:rStyle w:val="FootnoteReference"/>
          <w:rFonts w:ascii="Times New Roman" w:hAnsi="Times New Roman"/>
          <w:szCs w:val="24"/>
        </w:rPr>
        <w:footnoteReference w:id="1"/>
      </w:r>
      <w:r w:rsidRPr="00300E84">
        <w:rPr>
          <w:rFonts w:ascii="Times New Roman" w:hAnsi="Times New Roman"/>
          <w:szCs w:val="24"/>
        </w:rPr>
        <w:t xml:space="preserve"> </w:t>
      </w:r>
    </w:p>
    <w:p w14:paraId="1090DD6E" w14:textId="77777777" w:rsidR="00300E84" w:rsidRPr="00300E84" w:rsidRDefault="00300E84" w:rsidP="00300E84">
      <w:pPr>
        <w:rPr>
          <w:rFonts w:ascii="Times New Roman" w:hAnsi="Times New Roman"/>
          <w:szCs w:val="24"/>
        </w:rPr>
      </w:pPr>
    </w:p>
    <w:p w14:paraId="208B84BA" w14:textId="77777777" w:rsidR="00300E84" w:rsidRPr="00300E84" w:rsidRDefault="00300E84" w:rsidP="00300E84">
      <w:pPr>
        <w:rPr>
          <w:rFonts w:ascii="Times New Roman" w:hAnsi="Times New Roman"/>
          <w:szCs w:val="24"/>
        </w:rPr>
      </w:pPr>
      <w:r w:rsidRPr="00300E84">
        <w:rPr>
          <w:rFonts w:ascii="Times New Roman" w:hAnsi="Times New Roman"/>
          <w:szCs w:val="24"/>
        </w:rPr>
        <w:t>Services may also be provided to persons receiving, at the time of determination of eligibility, any federal or state form of means-tested public benefits, including but not limited to Work First New Jersey (TANF and GA), SSI, SNAP (formally Food Stamps), and New Jersey Family Care (all programs there under), without a new determination of income level.</w:t>
      </w:r>
    </w:p>
    <w:p w14:paraId="236F9D27" w14:textId="77777777" w:rsidR="00300E84" w:rsidRPr="00300E84" w:rsidRDefault="00300E84" w:rsidP="00300E84">
      <w:pPr>
        <w:rPr>
          <w:rFonts w:ascii="Calibri" w:hAnsi="Calibri"/>
          <w:sz w:val="22"/>
          <w:szCs w:val="22"/>
        </w:rPr>
      </w:pPr>
    </w:p>
    <w:sectPr w:rsidR="00300E84" w:rsidRPr="00300E84" w:rsidSect="00332174">
      <w:footerReference w:type="default" r:id="rId8"/>
      <w:endnotePr>
        <w:numFmt w:val="decimal"/>
      </w:endnotePr>
      <w:pgSz w:w="12240" w:h="15840"/>
      <w:pgMar w:top="720" w:right="1440" w:bottom="720" w:left="1440" w:header="720" w:footer="432" w:gutter="0"/>
      <w:paperSrc w:first="2" w:other="2"/>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9665FB" w14:textId="77777777" w:rsidR="008A1D2F" w:rsidRDefault="008A1D2F">
      <w:r>
        <w:separator/>
      </w:r>
    </w:p>
  </w:endnote>
  <w:endnote w:type="continuationSeparator" w:id="0">
    <w:p w14:paraId="4B59A155" w14:textId="77777777" w:rsidR="008A1D2F" w:rsidRDefault="008A1D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DDA392" w14:textId="77777777" w:rsidR="008A1D2F" w:rsidRPr="00E3066F" w:rsidRDefault="00CF2DF5">
    <w:pPr>
      <w:pStyle w:val="Footer"/>
      <w:jc w:val="center"/>
      <w:rPr>
        <w:rFonts w:ascii="Times New Roman" w:hAnsi="Times New Roman"/>
      </w:rPr>
    </w:pPr>
    <w:r w:rsidRPr="00E3066F">
      <w:rPr>
        <w:rFonts w:ascii="Times New Roman" w:hAnsi="Times New Roman"/>
      </w:rPr>
      <w:fldChar w:fldCharType="begin"/>
    </w:r>
    <w:r w:rsidR="008A1D2F" w:rsidRPr="00E3066F">
      <w:rPr>
        <w:rFonts w:ascii="Times New Roman" w:hAnsi="Times New Roman"/>
      </w:rPr>
      <w:instrText xml:space="preserve"> PAGE   \* MERGEFORMAT </w:instrText>
    </w:r>
    <w:r w:rsidRPr="00E3066F">
      <w:rPr>
        <w:rFonts w:ascii="Times New Roman" w:hAnsi="Times New Roman"/>
      </w:rPr>
      <w:fldChar w:fldCharType="separate"/>
    </w:r>
    <w:r w:rsidR="009616FB">
      <w:rPr>
        <w:rFonts w:ascii="Times New Roman" w:hAnsi="Times New Roman"/>
        <w:noProof/>
      </w:rPr>
      <w:t>2</w:t>
    </w:r>
    <w:r w:rsidRPr="00E3066F">
      <w:rPr>
        <w:rFonts w:ascii="Times New Roman" w:hAnsi="Times New Roman"/>
      </w:rPr>
      <w:fldChar w:fldCharType="end"/>
    </w:r>
  </w:p>
  <w:p w14:paraId="1ED8F0AE" w14:textId="77777777" w:rsidR="008A1D2F" w:rsidRDefault="008A1D2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31770B" w14:textId="77777777" w:rsidR="008A1D2F" w:rsidRDefault="008A1D2F">
      <w:r>
        <w:separator/>
      </w:r>
    </w:p>
  </w:footnote>
  <w:footnote w:type="continuationSeparator" w:id="0">
    <w:p w14:paraId="188F915A" w14:textId="77777777" w:rsidR="008A1D2F" w:rsidRDefault="008A1D2F">
      <w:r>
        <w:continuationSeparator/>
      </w:r>
    </w:p>
  </w:footnote>
  <w:footnote w:id="1">
    <w:p w14:paraId="210FB9C1" w14:textId="77777777" w:rsidR="008A1D2F" w:rsidRDefault="008A1D2F" w:rsidP="00FE2AD5">
      <w:pPr>
        <w:rPr>
          <w:rFonts w:ascii="Times New Roman" w:hAnsi="Times New Roman"/>
          <w:szCs w:val="24"/>
        </w:rPr>
      </w:pPr>
      <w:r>
        <w:rPr>
          <w:rStyle w:val="FootnoteReference"/>
        </w:rPr>
        <w:footnoteRef/>
      </w:r>
      <w:r>
        <w:t xml:space="preserve"> </w:t>
      </w:r>
      <w:r w:rsidRPr="00300E84">
        <w:rPr>
          <w:rFonts w:ascii="Times New Roman" w:hAnsi="Times New Roman"/>
          <w:szCs w:val="24"/>
        </w:rPr>
        <w:t>Special circumstances may include individuals whose income fluctuates, such as seasonal work in retail or landscaping, but whose annual income meets these guidelines.</w:t>
      </w:r>
    </w:p>
    <w:p w14:paraId="7355D87C" w14:textId="77777777" w:rsidR="008A1D2F" w:rsidRPr="00300E84" w:rsidRDefault="008A1D2F" w:rsidP="00FE2AD5">
      <w:pPr>
        <w:rPr>
          <w:rFonts w:ascii="Times New Roman" w:hAnsi="Times New Roman"/>
          <w:szCs w:val="24"/>
        </w:rPr>
      </w:pPr>
    </w:p>
    <w:p w14:paraId="3F5EEFCE" w14:textId="77777777" w:rsidR="008A1D2F" w:rsidRDefault="008A1D2F">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2D2A41"/>
    <w:multiLevelType w:val="singleLevel"/>
    <w:tmpl w:val="4C221CC0"/>
    <w:lvl w:ilvl="0">
      <w:start w:val="2"/>
      <w:numFmt w:val="lowerLetter"/>
      <w:lvlText w:val="%1."/>
      <w:lvlJc w:val="left"/>
      <w:pPr>
        <w:tabs>
          <w:tab w:val="num" w:pos="2160"/>
        </w:tabs>
        <w:ind w:left="2160" w:hanging="720"/>
      </w:pPr>
      <w:rPr>
        <w:rFonts w:hint="default"/>
      </w:rPr>
    </w:lvl>
  </w:abstractNum>
  <w:abstractNum w:abstractNumId="1" w15:restartNumberingAfterBreak="0">
    <w:nsid w:val="1EB1225A"/>
    <w:multiLevelType w:val="hybridMultilevel"/>
    <w:tmpl w:val="4F26D3A0"/>
    <w:lvl w:ilvl="0" w:tplc="65FE18EA">
      <w:start w:val="1"/>
      <w:numFmt w:val="decimal"/>
      <w:lvlText w:val="%1."/>
      <w:lvlJc w:val="left"/>
      <w:pPr>
        <w:ind w:left="468" w:hanging="360"/>
      </w:pPr>
      <w:rPr>
        <w:rFonts w:hint="default"/>
      </w:rPr>
    </w:lvl>
    <w:lvl w:ilvl="1" w:tplc="04090019" w:tentative="1">
      <w:start w:val="1"/>
      <w:numFmt w:val="lowerLetter"/>
      <w:lvlText w:val="%2."/>
      <w:lvlJc w:val="left"/>
      <w:pPr>
        <w:ind w:left="1188" w:hanging="360"/>
      </w:pPr>
    </w:lvl>
    <w:lvl w:ilvl="2" w:tplc="0409001B" w:tentative="1">
      <w:start w:val="1"/>
      <w:numFmt w:val="lowerRoman"/>
      <w:lvlText w:val="%3."/>
      <w:lvlJc w:val="right"/>
      <w:pPr>
        <w:ind w:left="1908" w:hanging="180"/>
      </w:pPr>
    </w:lvl>
    <w:lvl w:ilvl="3" w:tplc="0409000F" w:tentative="1">
      <w:start w:val="1"/>
      <w:numFmt w:val="decimal"/>
      <w:lvlText w:val="%4."/>
      <w:lvlJc w:val="left"/>
      <w:pPr>
        <w:ind w:left="2628" w:hanging="360"/>
      </w:pPr>
    </w:lvl>
    <w:lvl w:ilvl="4" w:tplc="04090019" w:tentative="1">
      <w:start w:val="1"/>
      <w:numFmt w:val="lowerLetter"/>
      <w:lvlText w:val="%5."/>
      <w:lvlJc w:val="left"/>
      <w:pPr>
        <w:ind w:left="3348" w:hanging="360"/>
      </w:pPr>
    </w:lvl>
    <w:lvl w:ilvl="5" w:tplc="0409001B" w:tentative="1">
      <w:start w:val="1"/>
      <w:numFmt w:val="lowerRoman"/>
      <w:lvlText w:val="%6."/>
      <w:lvlJc w:val="right"/>
      <w:pPr>
        <w:ind w:left="4068" w:hanging="180"/>
      </w:pPr>
    </w:lvl>
    <w:lvl w:ilvl="6" w:tplc="0409000F" w:tentative="1">
      <w:start w:val="1"/>
      <w:numFmt w:val="decimal"/>
      <w:lvlText w:val="%7."/>
      <w:lvlJc w:val="left"/>
      <w:pPr>
        <w:ind w:left="4788" w:hanging="360"/>
      </w:pPr>
    </w:lvl>
    <w:lvl w:ilvl="7" w:tplc="04090019" w:tentative="1">
      <w:start w:val="1"/>
      <w:numFmt w:val="lowerLetter"/>
      <w:lvlText w:val="%8."/>
      <w:lvlJc w:val="left"/>
      <w:pPr>
        <w:ind w:left="5508" w:hanging="360"/>
      </w:pPr>
    </w:lvl>
    <w:lvl w:ilvl="8" w:tplc="0409001B" w:tentative="1">
      <w:start w:val="1"/>
      <w:numFmt w:val="lowerRoman"/>
      <w:lvlText w:val="%9."/>
      <w:lvlJc w:val="right"/>
      <w:pPr>
        <w:ind w:left="6228" w:hanging="180"/>
      </w:pPr>
    </w:lvl>
  </w:abstractNum>
  <w:abstractNum w:abstractNumId="2" w15:restartNumberingAfterBreak="0">
    <w:nsid w:val="32F77347"/>
    <w:multiLevelType w:val="hybridMultilevel"/>
    <w:tmpl w:val="8D9AE9A2"/>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34E2729B"/>
    <w:multiLevelType w:val="singleLevel"/>
    <w:tmpl w:val="D9D43B4A"/>
    <w:lvl w:ilvl="0">
      <w:start w:val="13"/>
      <w:numFmt w:val="decimal"/>
      <w:lvlText w:val="%1."/>
      <w:lvlJc w:val="left"/>
      <w:pPr>
        <w:tabs>
          <w:tab w:val="num" w:pos="720"/>
        </w:tabs>
        <w:ind w:left="720" w:hanging="720"/>
      </w:pPr>
      <w:rPr>
        <w:rFonts w:hint="default"/>
      </w:rPr>
    </w:lvl>
  </w:abstractNum>
  <w:abstractNum w:abstractNumId="4" w15:restartNumberingAfterBreak="0">
    <w:nsid w:val="3B520075"/>
    <w:multiLevelType w:val="hybridMultilevel"/>
    <w:tmpl w:val="8F5C25D8"/>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3BFF62A5"/>
    <w:multiLevelType w:val="hybridMultilevel"/>
    <w:tmpl w:val="091024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4AD6E79"/>
    <w:multiLevelType w:val="hybridMultilevel"/>
    <w:tmpl w:val="1E3C3A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7D32BE0"/>
    <w:multiLevelType w:val="hybridMultilevel"/>
    <w:tmpl w:val="3B20C8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AF55001"/>
    <w:multiLevelType w:val="hybridMultilevel"/>
    <w:tmpl w:val="05A4AF4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57939F3"/>
    <w:multiLevelType w:val="hybridMultilevel"/>
    <w:tmpl w:val="B9D833F8"/>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6AAD44EC"/>
    <w:multiLevelType w:val="hybridMultilevel"/>
    <w:tmpl w:val="0C4AE6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C7170FE"/>
    <w:multiLevelType w:val="hybridMultilevel"/>
    <w:tmpl w:val="2254569A"/>
    <w:lvl w:ilvl="0" w:tplc="9ADC87FA">
      <w:start w:val="1"/>
      <w:numFmt w:val="decimal"/>
      <w:lvlText w:val="%1."/>
      <w:lvlJc w:val="left"/>
      <w:pPr>
        <w:ind w:left="90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 w15:restartNumberingAfterBreak="0">
    <w:nsid w:val="71D24B6E"/>
    <w:multiLevelType w:val="hybridMultilevel"/>
    <w:tmpl w:val="E5AE0054"/>
    <w:lvl w:ilvl="0" w:tplc="04090001">
      <w:start w:val="9"/>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6B30B72"/>
    <w:multiLevelType w:val="hybridMultilevel"/>
    <w:tmpl w:val="39ACF3C2"/>
    <w:lvl w:ilvl="0" w:tplc="4FCEF0A2">
      <w:start w:val="9"/>
      <w:numFmt w:val="bullet"/>
      <w:lvlText w:val=""/>
      <w:lvlJc w:val="left"/>
      <w:pPr>
        <w:ind w:left="720" w:hanging="360"/>
      </w:pPr>
      <w:rPr>
        <w:rFonts w:ascii="Symbol" w:eastAsia="Times New Roman" w:hAnsi="Symbol"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27871782">
    <w:abstractNumId w:val="12"/>
  </w:num>
  <w:num w:numId="2" w16cid:durableId="1758749583">
    <w:abstractNumId w:val="13"/>
  </w:num>
  <w:num w:numId="3" w16cid:durableId="520554259">
    <w:abstractNumId w:val="3"/>
  </w:num>
  <w:num w:numId="4" w16cid:durableId="1975404456">
    <w:abstractNumId w:val="9"/>
  </w:num>
  <w:num w:numId="5" w16cid:durableId="247691303">
    <w:abstractNumId w:val="8"/>
  </w:num>
  <w:num w:numId="6" w16cid:durableId="829298638">
    <w:abstractNumId w:val="2"/>
  </w:num>
  <w:num w:numId="7" w16cid:durableId="1612587789">
    <w:abstractNumId w:val="4"/>
  </w:num>
  <w:num w:numId="8" w16cid:durableId="403532136">
    <w:abstractNumId w:val="10"/>
  </w:num>
  <w:num w:numId="9" w16cid:durableId="67769189">
    <w:abstractNumId w:val="5"/>
  </w:num>
  <w:num w:numId="10" w16cid:durableId="921139831">
    <w:abstractNumId w:val="0"/>
  </w:num>
  <w:num w:numId="11" w16cid:durableId="1201288265">
    <w:abstractNumId w:val="1"/>
  </w:num>
  <w:num w:numId="12" w16cid:durableId="421804511">
    <w:abstractNumId w:val="7"/>
  </w:num>
  <w:num w:numId="13" w16cid:durableId="1214349039">
    <w:abstractNumId w:val="6"/>
  </w:num>
  <w:num w:numId="14" w16cid:durableId="17999535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720"/>
  <w:doNotHyphenateCaps/>
  <w:drawingGridHorizontalSpacing w:val="120"/>
  <w:drawingGridVerticalSpacing w:val="0"/>
  <w:displayHorizontalDrawingGridEvery w:val="0"/>
  <w:displayVerticalDrawingGridEvery w:val="0"/>
  <w:doNotShadeFormData/>
  <w:noPunctuationKerning/>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22FE"/>
    <w:rsid w:val="00010429"/>
    <w:rsid w:val="000219B7"/>
    <w:rsid w:val="00030FBA"/>
    <w:rsid w:val="00037F1B"/>
    <w:rsid w:val="00075478"/>
    <w:rsid w:val="000A127B"/>
    <w:rsid w:val="000C659D"/>
    <w:rsid w:val="000E2ADC"/>
    <w:rsid w:val="000F137B"/>
    <w:rsid w:val="000F4AC1"/>
    <w:rsid w:val="000F7852"/>
    <w:rsid w:val="00100E65"/>
    <w:rsid w:val="00110DB0"/>
    <w:rsid w:val="001738C1"/>
    <w:rsid w:val="001855CC"/>
    <w:rsid w:val="001D5D58"/>
    <w:rsid w:val="001F5DB6"/>
    <w:rsid w:val="0020326D"/>
    <w:rsid w:val="0021444C"/>
    <w:rsid w:val="00223B51"/>
    <w:rsid w:val="00246578"/>
    <w:rsid w:val="002A4D56"/>
    <w:rsid w:val="002C4B7A"/>
    <w:rsid w:val="002D1657"/>
    <w:rsid w:val="002D4572"/>
    <w:rsid w:val="002E22BE"/>
    <w:rsid w:val="00300E84"/>
    <w:rsid w:val="00305C39"/>
    <w:rsid w:val="0032578F"/>
    <w:rsid w:val="00327409"/>
    <w:rsid w:val="00332174"/>
    <w:rsid w:val="003A6463"/>
    <w:rsid w:val="003A735E"/>
    <w:rsid w:val="003F104A"/>
    <w:rsid w:val="00416300"/>
    <w:rsid w:val="00434413"/>
    <w:rsid w:val="00436E6A"/>
    <w:rsid w:val="004614BB"/>
    <w:rsid w:val="00474B95"/>
    <w:rsid w:val="004920A8"/>
    <w:rsid w:val="004C6591"/>
    <w:rsid w:val="004E2938"/>
    <w:rsid w:val="004F24A0"/>
    <w:rsid w:val="00502A22"/>
    <w:rsid w:val="00504B42"/>
    <w:rsid w:val="005066DD"/>
    <w:rsid w:val="00562972"/>
    <w:rsid w:val="0057379C"/>
    <w:rsid w:val="00574278"/>
    <w:rsid w:val="00575604"/>
    <w:rsid w:val="0058155E"/>
    <w:rsid w:val="00592300"/>
    <w:rsid w:val="005E2D95"/>
    <w:rsid w:val="005F6434"/>
    <w:rsid w:val="00643F2F"/>
    <w:rsid w:val="00651701"/>
    <w:rsid w:val="00653E5D"/>
    <w:rsid w:val="00656B57"/>
    <w:rsid w:val="006830D7"/>
    <w:rsid w:val="006A4CAB"/>
    <w:rsid w:val="006A5AF5"/>
    <w:rsid w:val="006B11A5"/>
    <w:rsid w:val="006B6E03"/>
    <w:rsid w:val="006C0095"/>
    <w:rsid w:val="006C03A7"/>
    <w:rsid w:val="006D22FE"/>
    <w:rsid w:val="00726CFA"/>
    <w:rsid w:val="007510CA"/>
    <w:rsid w:val="00786212"/>
    <w:rsid w:val="007A152B"/>
    <w:rsid w:val="00826BD0"/>
    <w:rsid w:val="00856CB7"/>
    <w:rsid w:val="008954CB"/>
    <w:rsid w:val="008A1D2F"/>
    <w:rsid w:val="008A4E67"/>
    <w:rsid w:val="008B0FA3"/>
    <w:rsid w:val="008B1CAB"/>
    <w:rsid w:val="008B4EEF"/>
    <w:rsid w:val="00902416"/>
    <w:rsid w:val="00927B37"/>
    <w:rsid w:val="009616FB"/>
    <w:rsid w:val="0096343B"/>
    <w:rsid w:val="00972203"/>
    <w:rsid w:val="00985763"/>
    <w:rsid w:val="00995F52"/>
    <w:rsid w:val="009F3F7E"/>
    <w:rsid w:val="00A42B58"/>
    <w:rsid w:val="00A72B90"/>
    <w:rsid w:val="00A90A70"/>
    <w:rsid w:val="00A96FBC"/>
    <w:rsid w:val="00AA3E12"/>
    <w:rsid w:val="00AB33B4"/>
    <w:rsid w:val="00AD2951"/>
    <w:rsid w:val="00AD3DA9"/>
    <w:rsid w:val="00AD796C"/>
    <w:rsid w:val="00B05999"/>
    <w:rsid w:val="00B33EBC"/>
    <w:rsid w:val="00B41CDA"/>
    <w:rsid w:val="00B611B8"/>
    <w:rsid w:val="00BA586A"/>
    <w:rsid w:val="00BB7A73"/>
    <w:rsid w:val="00BC35DA"/>
    <w:rsid w:val="00BF43CA"/>
    <w:rsid w:val="00C01617"/>
    <w:rsid w:val="00C2014B"/>
    <w:rsid w:val="00C3196B"/>
    <w:rsid w:val="00C357A9"/>
    <w:rsid w:val="00C56CA5"/>
    <w:rsid w:val="00C70B52"/>
    <w:rsid w:val="00C75578"/>
    <w:rsid w:val="00C8463D"/>
    <w:rsid w:val="00CA1984"/>
    <w:rsid w:val="00CA65DB"/>
    <w:rsid w:val="00CA750D"/>
    <w:rsid w:val="00CC3B1F"/>
    <w:rsid w:val="00CE6CB2"/>
    <w:rsid w:val="00CF2DF5"/>
    <w:rsid w:val="00D23EB6"/>
    <w:rsid w:val="00D54087"/>
    <w:rsid w:val="00D56897"/>
    <w:rsid w:val="00D73C88"/>
    <w:rsid w:val="00DA1753"/>
    <w:rsid w:val="00DA1912"/>
    <w:rsid w:val="00DB30C6"/>
    <w:rsid w:val="00DC1BF8"/>
    <w:rsid w:val="00E26ACC"/>
    <w:rsid w:val="00E3066F"/>
    <w:rsid w:val="00E30F2B"/>
    <w:rsid w:val="00E31775"/>
    <w:rsid w:val="00E47AED"/>
    <w:rsid w:val="00E47DFA"/>
    <w:rsid w:val="00E7305A"/>
    <w:rsid w:val="00E90E14"/>
    <w:rsid w:val="00EA68C6"/>
    <w:rsid w:val="00EB57C4"/>
    <w:rsid w:val="00F03DBE"/>
    <w:rsid w:val="00F11AF9"/>
    <w:rsid w:val="00F24E4A"/>
    <w:rsid w:val="00F33FBA"/>
    <w:rsid w:val="00F3797E"/>
    <w:rsid w:val="00F55FC9"/>
    <w:rsid w:val="00FA719F"/>
    <w:rsid w:val="00FB1BE8"/>
    <w:rsid w:val="00FB33AF"/>
    <w:rsid w:val="00FB556F"/>
    <w:rsid w:val="00FE2A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enu v:ext="edit" fillcolor="none [663]" strokecolor="none" shadowcolor="none [3212]"/>
    </o:shapedefaults>
    <o:shapelayout v:ext="edit">
      <o:idmap v:ext="edit" data="1"/>
    </o:shapelayout>
  </w:shapeDefaults>
  <w:decimalSymbol w:val="."/>
  <w:listSeparator w:val=","/>
  <w14:docId w14:val="0D8831F3"/>
  <w15:docId w15:val="{91CEEAD0-BE3D-4D4B-977A-F130334C4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4572"/>
    <w:pPr>
      <w:widowControl w:val="0"/>
    </w:pPr>
    <w:rPr>
      <w:rFonts w:ascii="Courier" w:hAnsi="Courier"/>
      <w:snapToGrid w:val="0"/>
      <w:sz w:val="24"/>
    </w:rPr>
  </w:style>
  <w:style w:type="paragraph" w:styleId="Heading1">
    <w:name w:val="heading 1"/>
    <w:basedOn w:val="Normal"/>
    <w:next w:val="Normal"/>
    <w:qFormat/>
    <w:rsid w:val="002D4572"/>
    <w:pPr>
      <w:keepNext/>
      <w:pBdr>
        <w:top w:val="thinThickLargeGap" w:sz="24" w:space="1" w:color="FF0000"/>
        <w:left w:val="thinThickLargeGap" w:sz="24" w:space="4" w:color="FF0000"/>
        <w:bottom w:val="thickThinLargeGap" w:sz="24" w:space="1" w:color="FF0000"/>
        <w:right w:val="thickThinLargeGap" w:sz="24" w:space="4" w:color="FF0000"/>
      </w:pBdr>
      <w:jc w:val="both"/>
      <w:outlineLvl w:val="0"/>
    </w:pPr>
    <w:rPr>
      <w:rFonts w:ascii="Times New Roman" w:hAnsi="Times New Roman"/>
      <w:b/>
    </w:rPr>
  </w:style>
  <w:style w:type="paragraph" w:styleId="Heading2">
    <w:name w:val="heading 2"/>
    <w:basedOn w:val="Normal"/>
    <w:next w:val="Normal"/>
    <w:qFormat/>
    <w:rsid w:val="002D4572"/>
    <w:pPr>
      <w:keepNext/>
      <w:jc w:val="both"/>
      <w:outlineLvl w:val="1"/>
    </w:pPr>
    <w:rPr>
      <w:rFonts w:ascii="Times New Roman" w:hAnsi="Times New Roman"/>
      <w:b/>
    </w:rPr>
  </w:style>
  <w:style w:type="paragraph" w:styleId="Heading3">
    <w:name w:val="heading 3"/>
    <w:basedOn w:val="Normal"/>
    <w:next w:val="Normal"/>
    <w:qFormat/>
    <w:rsid w:val="002D4572"/>
    <w:pPr>
      <w:keepNext/>
      <w:jc w:val="center"/>
      <w:outlineLvl w:val="2"/>
    </w:pPr>
    <w:rPr>
      <w:rFonts w:ascii="Times New Roman" w:hAnsi="Times New Roman"/>
      <w:b/>
    </w:rPr>
  </w:style>
  <w:style w:type="paragraph" w:styleId="Heading4">
    <w:name w:val="heading 4"/>
    <w:basedOn w:val="Normal"/>
    <w:next w:val="Normal"/>
    <w:qFormat/>
    <w:rsid w:val="002D4572"/>
    <w:pPr>
      <w:keepNext/>
      <w:ind w:left="1440" w:firstLine="720"/>
      <w:jc w:val="both"/>
      <w:outlineLvl w:val="3"/>
    </w:pPr>
    <w:rPr>
      <w:rFonts w:ascii="Times New Roman" w:hAnsi="Times New Roman"/>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rsid w:val="002D4572"/>
  </w:style>
  <w:style w:type="paragraph" w:styleId="Header">
    <w:name w:val="header"/>
    <w:basedOn w:val="Normal"/>
    <w:semiHidden/>
    <w:rsid w:val="002D4572"/>
    <w:pPr>
      <w:tabs>
        <w:tab w:val="center" w:pos="4320"/>
        <w:tab w:val="right" w:pos="8640"/>
      </w:tabs>
    </w:pPr>
  </w:style>
  <w:style w:type="paragraph" w:styleId="Footer">
    <w:name w:val="footer"/>
    <w:basedOn w:val="Normal"/>
    <w:link w:val="FooterChar"/>
    <w:uiPriority w:val="99"/>
    <w:rsid w:val="002D4572"/>
    <w:pPr>
      <w:tabs>
        <w:tab w:val="center" w:pos="4320"/>
        <w:tab w:val="right" w:pos="8640"/>
      </w:tabs>
    </w:pPr>
  </w:style>
  <w:style w:type="character" w:styleId="PageNumber">
    <w:name w:val="page number"/>
    <w:basedOn w:val="DefaultParagraphFont"/>
    <w:semiHidden/>
    <w:rsid w:val="002D4572"/>
  </w:style>
  <w:style w:type="paragraph" w:styleId="Title">
    <w:name w:val="Title"/>
    <w:basedOn w:val="Normal"/>
    <w:qFormat/>
    <w:rsid w:val="002D4572"/>
    <w:pPr>
      <w:pBdr>
        <w:top w:val="thinThickLargeGap" w:sz="24" w:space="1" w:color="FF0000" w:shadow="1"/>
        <w:left w:val="thinThickLargeGap" w:sz="24" w:space="4" w:color="FF0000" w:shadow="1"/>
        <w:bottom w:val="thinThickLargeGap" w:sz="24" w:space="1" w:color="FF0000" w:shadow="1"/>
        <w:right w:val="thinThickLargeGap" w:sz="24" w:space="4" w:color="FF0000" w:shadow="1"/>
      </w:pBdr>
      <w:shd w:val="pct10" w:color="auto" w:fill="FFFFFF"/>
      <w:tabs>
        <w:tab w:val="center" w:pos="4680"/>
      </w:tabs>
      <w:jc w:val="center"/>
    </w:pPr>
    <w:rPr>
      <w:rFonts w:ascii="Times New Roman" w:hAnsi="Times New Roman"/>
      <w:b/>
    </w:rPr>
  </w:style>
  <w:style w:type="character" w:styleId="Hyperlink">
    <w:name w:val="Hyperlink"/>
    <w:basedOn w:val="DefaultParagraphFont"/>
    <w:uiPriority w:val="99"/>
    <w:unhideWhenUsed/>
    <w:rsid w:val="004E2938"/>
    <w:rPr>
      <w:color w:val="0000FF"/>
      <w:u w:val="single"/>
    </w:rPr>
  </w:style>
  <w:style w:type="character" w:styleId="FollowedHyperlink">
    <w:name w:val="FollowedHyperlink"/>
    <w:basedOn w:val="DefaultParagraphFont"/>
    <w:uiPriority w:val="99"/>
    <w:semiHidden/>
    <w:unhideWhenUsed/>
    <w:rsid w:val="004E2938"/>
    <w:rPr>
      <w:color w:val="800080"/>
      <w:u w:val="single"/>
    </w:rPr>
  </w:style>
  <w:style w:type="paragraph" w:styleId="BlockText">
    <w:name w:val="Block Text"/>
    <w:basedOn w:val="Normal"/>
    <w:semiHidden/>
    <w:rsid w:val="00C357A9"/>
    <w:pPr>
      <w:widowControl/>
      <w:ind w:left="2160" w:right="720"/>
    </w:pPr>
    <w:rPr>
      <w:rFonts w:ascii="Times New Roman" w:hAnsi="Times New Roman"/>
    </w:rPr>
  </w:style>
  <w:style w:type="character" w:customStyle="1" w:styleId="FooterChar">
    <w:name w:val="Footer Char"/>
    <w:basedOn w:val="DefaultParagraphFont"/>
    <w:link w:val="Footer"/>
    <w:uiPriority w:val="99"/>
    <w:rsid w:val="00E3066F"/>
    <w:rPr>
      <w:rFonts w:ascii="Courier" w:hAnsi="Courier"/>
      <w:snapToGrid w:val="0"/>
      <w:sz w:val="24"/>
    </w:rPr>
  </w:style>
  <w:style w:type="paragraph" w:styleId="ListParagraph">
    <w:name w:val="List Paragraph"/>
    <w:basedOn w:val="Normal"/>
    <w:uiPriority w:val="34"/>
    <w:qFormat/>
    <w:rsid w:val="00502A22"/>
    <w:pPr>
      <w:ind w:left="720"/>
      <w:contextualSpacing/>
    </w:pPr>
  </w:style>
  <w:style w:type="paragraph" w:styleId="FootnoteText">
    <w:name w:val="footnote text"/>
    <w:basedOn w:val="Normal"/>
    <w:link w:val="FootnoteTextChar"/>
    <w:uiPriority w:val="99"/>
    <w:semiHidden/>
    <w:unhideWhenUsed/>
    <w:rsid w:val="00FE2AD5"/>
    <w:rPr>
      <w:sz w:val="20"/>
    </w:rPr>
  </w:style>
  <w:style w:type="character" w:customStyle="1" w:styleId="FootnoteTextChar">
    <w:name w:val="Footnote Text Char"/>
    <w:basedOn w:val="DefaultParagraphFont"/>
    <w:link w:val="FootnoteText"/>
    <w:uiPriority w:val="99"/>
    <w:semiHidden/>
    <w:rsid w:val="00FE2AD5"/>
    <w:rPr>
      <w:rFonts w:ascii="Courier" w:hAnsi="Courier"/>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2361471">
      <w:bodyDiv w:val="1"/>
      <w:marLeft w:val="0"/>
      <w:marRight w:val="0"/>
      <w:marTop w:val="0"/>
      <w:marBottom w:val="0"/>
      <w:divBdr>
        <w:top w:val="none" w:sz="0" w:space="0" w:color="auto"/>
        <w:left w:val="none" w:sz="0" w:space="0" w:color="auto"/>
        <w:bottom w:val="none" w:sz="0" w:space="0" w:color="auto"/>
        <w:right w:val="none" w:sz="0" w:space="0" w:color="auto"/>
      </w:divBdr>
    </w:div>
    <w:div w:id="1405027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5F52472-E1F3-4D67-BCC7-11B44DB468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2045</Words>
  <Characters>11134</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INTRODUCTION</vt:lpstr>
    </vt:vector>
  </TitlesOfParts>
  <Company>The IOLTA Fund</Company>
  <LinksUpToDate>false</LinksUpToDate>
  <CharactersWithSpaces>13153</CharactersWithSpaces>
  <SharedDoc>false</SharedDoc>
  <HLinks>
    <vt:vector size="6" baseType="variant">
      <vt:variant>
        <vt:i4>4259911</vt:i4>
      </vt:variant>
      <vt:variant>
        <vt:i4>2</vt:i4>
      </vt:variant>
      <vt:variant>
        <vt:i4>0</vt:i4>
      </vt:variant>
      <vt:variant>
        <vt:i4>5</vt:i4>
      </vt:variant>
      <vt:variant>
        <vt:lpwstr>http://aspe.hhs.gov/poverty/14poverty.cfm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dc:title>
  <dc:creator>Ellen Ferrise</dc:creator>
  <cp:lastModifiedBy>Robert Ackerman</cp:lastModifiedBy>
  <cp:revision>2</cp:revision>
  <cp:lastPrinted>2017-06-12T18:57:00Z</cp:lastPrinted>
  <dcterms:created xsi:type="dcterms:W3CDTF">2025-06-25T16:13:00Z</dcterms:created>
  <dcterms:modified xsi:type="dcterms:W3CDTF">2025-06-25T16:13:00Z</dcterms:modified>
</cp:coreProperties>
</file>